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92" w:type="dxa"/>
        <w:tblLook w:val="04A0" w:firstRow="1" w:lastRow="0" w:firstColumn="1" w:lastColumn="0" w:noHBand="0" w:noVBand="1"/>
      </w:tblPr>
      <w:tblGrid>
        <w:gridCol w:w="9992"/>
      </w:tblGrid>
      <w:tr w:rsidR="00291F9E" w:rsidRPr="006E697B" w:rsidTr="001840D5">
        <w:trPr>
          <w:trHeight w:hRule="exact" w:val="12191"/>
        </w:trPr>
        <w:tc>
          <w:tcPr>
            <w:tcW w:w="9992" w:type="dxa"/>
          </w:tcPr>
          <w:sdt>
            <w:sdtPr>
              <w:rPr>
                <w:sz w:val="80"/>
                <w:szCs w:val="80"/>
              </w:rPr>
              <w:alias w:val="Title"/>
              <w:tag w:val=""/>
              <w:id w:val="-1620522891"/>
              <w:placeholder>
                <w:docPart w:val="0098F99C5D304AA7B7DC10A3709CD0DE"/>
              </w:placeholder>
              <w:dataBinding w:prefixMappings="xmlns:ns0='http://purl.org/dc/elements/1.1/' xmlns:ns1='http://schemas.openxmlformats.org/package/2006/metadata/core-properties' " w:xpath="/ns1:coreProperties[1]/ns0:title[1]" w:storeItemID="{6C3C8BC8-F283-45AE-878A-BAB7291924A1}"/>
              <w:text/>
            </w:sdtPr>
            <w:sdtEndPr/>
            <w:sdtContent>
              <w:p w:rsidR="006608DB" w:rsidRPr="00595351" w:rsidRDefault="00F6222C" w:rsidP="00AB1B90">
                <w:pPr>
                  <w:pStyle w:val="Title"/>
                  <w:rPr>
                    <w:sz w:val="80"/>
                    <w:szCs w:val="80"/>
                  </w:rPr>
                </w:pPr>
                <w:proofErr w:type="spellStart"/>
                <w:r w:rsidRPr="00595351">
                  <w:rPr>
                    <w:sz w:val="80"/>
                    <w:szCs w:val="80"/>
                  </w:rPr>
                  <w:t>Swanwick</w:t>
                </w:r>
                <w:proofErr w:type="spellEnd"/>
                <w:r w:rsidRPr="00595351">
                  <w:rPr>
                    <w:sz w:val="80"/>
                    <w:szCs w:val="80"/>
                  </w:rPr>
                  <w:t xml:space="preserve"> Airspace Improvement </w:t>
                </w:r>
                <w:proofErr w:type="spellStart"/>
                <w:r w:rsidRPr="00595351">
                  <w:rPr>
                    <w:sz w:val="80"/>
                    <w:szCs w:val="80"/>
                  </w:rPr>
                  <w:t>Pro</w:t>
                </w:r>
                <w:r w:rsidR="00595351" w:rsidRPr="00595351">
                  <w:rPr>
                    <w:sz w:val="80"/>
                    <w:szCs w:val="80"/>
                  </w:rPr>
                  <w:t>ramme</w:t>
                </w:r>
                <w:proofErr w:type="spellEnd"/>
                <w:r w:rsidRPr="00595351">
                  <w:rPr>
                    <w:sz w:val="80"/>
                    <w:szCs w:val="80"/>
                  </w:rPr>
                  <w:t>: Consultation Document</w:t>
                </w:r>
              </w:p>
            </w:sdtContent>
          </w:sdt>
          <w:p w:rsidR="00281587" w:rsidRPr="00281587" w:rsidRDefault="00F6222C" w:rsidP="00EC7985">
            <w:pPr>
              <w:pStyle w:val="Subtitle"/>
            </w:pPr>
            <w:r>
              <w:t>AD1 – Part 3: Introd</w:t>
            </w:r>
            <w:r w:rsidR="00EC7985">
              <w:t>uction</w:t>
            </w:r>
            <w:r>
              <w:t xml:space="preserve"> of Controlled Airspace in the Region of the Portsmouth Danger Areas</w:t>
            </w:r>
          </w:p>
        </w:tc>
      </w:tr>
    </w:tbl>
    <w:p w:rsidR="001840D5" w:rsidRPr="001840D5" w:rsidRDefault="001840D5" w:rsidP="001840D5">
      <w:pPr>
        <w:spacing w:before="120" w:after="120"/>
        <w:rPr>
          <w:spacing w:val="0"/>
        </w:rPr>
      </w:pPr>
      <w:r w:rsidRPr="00F52647">
        <w:rPr>
          <w:spacing w:val="0"/>
        </w:rPr>
        <w:br/>
      </w:r>
    </w:p>
    <w:sdt>
      <w:sdtPr>
        <w:rPr>
          <w:rStyle w:val="Bold"/>
          <w:b w:val="0"/>
          <w:color w:val="145569"/>
        </w:rPr>
        <w:alias w:val="Protective marking"/>
        <w:tag w:val="Protective marking"/>
        <w:id w:val="-614135224"/>
        <w:dropDownList>
          <w:listItem w:displayText="Unmarked" w:value="Unmarked"/>
          <w:listItem w:displayText="NATS Protected" w:value="NATS Protected"/>
          <w:listItem w:displayText="NATS Private" w:value="NATS Private"/>
        </w:dropDownList>
      </w:sdtPr>
      <w:sdtEndPr>
        <w:rPr>
          <w:rStyle w:val="Bold"/>
        </w:rPr>
      </w:sdtEndPr>
      <w:sdtContent>
        <w:p w:rsidR="001840D5" w:rsidRPr="00F52647" w:rsidRDefault="00F6222C" w:rsidP="001840D5">
          <w:pPr>
            <w:pStyle w:val="Protectedmarking"/>
          </w:pPr>
          <w:r>
            <w:rPr>
              <w:rStyle w:val="Bold"/>
              <w:b w:val="0"/>
              <w:color w:val="145569"/>
            </w:rPr>
            <w:t>Unmarked</w:t>
          </w:r>
        </w:p>
      </w:sdtContent>
    </w:sdt>
    <w:p w:rsidR="00554010" w:rsidRPr="001840D5" w:rsidRDefault="00554010" w:rsidP="001840D5">
      <w:pPr>
        <w:spacing w:after="0"/>
        <w:rPr>
          <w:sz w:val="12"/>
          <w:szCs w:val="12"/>
        </w:rPr>
      </w:pPr>
    </w:p>
    <w:p w:rsidR="00310A20" w:rsidRDefault="00310A20" w:rsidP="00547687">
      <w:pPr>
        <w:sectPr w:rsidR="00310A20" w:rsidSect="001840D5">
          <w:headerReference w:type="even" r:id="rId13"/>
          <w:headerReference w:type="default" r:id="rId14"/>
          <w:footerReference w:type="even" r:id="rId15"/>
          <w:headerReference w:type="first" r:id="rId16"/>
          <w:type w:val="continuous"/>
          <w:pgSz w:w="11906" w:h="16838" w:code="9"/>
          <w:pgMar w:top="2835" w:right="567" w:bottom="284" w:left="907" w:header="397" w:footer="284" w:gutter="0"/>
          <w:cols w:space="720"/>
          <w:formProt w:val="0"/>
          <w:docGrid w:linePitch="360"/>
        </w:sectPr>
      </w:pPr>
    </w:p>
    <w:p w:rsidR="000E017F" w:rsidRPr="006E697B" w:rsidRDefault="00557FE4" w:rsidP="00762EE1">
      <w:pPr>
        <w:pStyle w:val="TOCHeading"/>
        <w:framePr w:wrap="around"/>
      </w:pPr>
      <w:r>
        <w:lastRenderedPageBreak/>
        <w:t xml:space="preserve">Table of </w:t>
      </w:r>
      <w:r w:rsidRPr="00762EE1">
        <w:t>contents</w:t>
      </w:r>
    </w:p>
    <w:p w:rsidR="00EC7985" w:rsidRDefault="00812B30">
      <w:pPr>
        <w:pStyle w:val="TOC1"/>
        <w:rPr>
          <w:rFonts w:eastAsiaTheme="minorEastAsia"/>
          <w:b w:val="0"/>
          <w:color w:val="auto"/>
          <w:sz w:val="22"/>
          <w:szCs w:val="22"/>
          <w:lang w:eastAsia="en-GB"/>
        </w:rPr>
      </w:pPr>
      <w:r>
        <w:fldChar w:fldCharType="begin"/>
      </w:r>
      <w:r>
        <w:instrText xml:space="preserve"> TOC \o "1-3" \u </w:instrText>
      </w:r>
      <w:r>
        <w:fldChar w:fldCharType="separate"/>
      </w:r>
      <w:r w:rsidR="00EC7985">
        <w:t>1.</w:t>
      </w:r>
      <w:r w:rsidR="00EC7985">
        <w:rPr>
          <w:rFonts w:eastAsiaTheme="minorEastAsia"/>
          <w:b w:val="0"/>
          <w:color w:val="auto"/>
          <w:sz w:val="22"/>
          <w:szCs w:val="22"/>
          <w:lang w:eastAsia="en-GB"/>
        </w:rPr>
        <w:tab/>
      </w:r>
      <w:r w:rsidR="00EC7985">
        <w:t>Introduction</w:t>
      </w:r>
      <w:r w:rsidR="00EC7985">
        <w:tab/>
      </w:r>
      <w:r w:rsidR="00EC7985">
        <w:fldChar w:fldCharType="begin"/>
      </w:r>
      <w:r w:rsidR="00EC7985">
        <w:instrText xml:space="preserve"> PAGEREF _Toc486405367 \h </w:instrText>
      </w:r>
      <w:r w:rsidR="00EC7985">
        <w:fldChar w:fldCharType="separate"/>
      </w:r>
      <w:r w:rsidR="00EC7985">
        <w:t>3</w:t>
      </w:r>
      <w:r w:rsidR="00EC7985">
        <w:fldChar w:fldCharType="end"/>
      </w:r>
    </w:p>
    <w:p w:rsidR="00EC7985" w:rsidRDefault="00EC7985">
      <w:pPr>
        <w:pStyle w:val="TOC1"/>
        <w:rPr>
          <w:rFonts w:eastAsiaTheme="minorEastAsia"/>
          <w:b w:val="0"/>
          <w:color w:val="auto"/>
          <w:sz w:val="22"/>
          <w:szCs w:val="22"/>
          <w:lang w:eastAsia="en-GB"/>
        </w:rPr>
      </w:pPr>
      <w:r>
        <w:t>2.</w:t>
      </w:r>
      <w:r>
        <w:rPr>
          <w:rFonts w:eastAsiaTheme="minorEastAsia"/>
          <w:b w:val="0"/>
          <w:color w:val="auto"/>
          <w:sz w:val="22"/>
          <w:szCs w:val="22"/>
          <w:lang w:eastAsia="en-GB"/>
        </w:rPr>
        <w:tab/>
      </w:r>
      <w:r>
        <w:t>Current Airspace &amp; Operations</w:t>
      </w:r>
      <w:r>
        <w:tab/>
      </w:r>
      <w:r>
        <w:fldChar w:fldCharType="begin"/>
      </w:r>
      <w:r>
        <w:instrText xml:space="preserve"> PAGEREF _Toc486405368 \h </w:instrText>
      </w:r>
      <w:r>
        <w:fldChar w:fldCharType="separate"/>
      </w:r>
      <w:r>
        <w:t>5</w:t>
      </w:r>
      <w: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2.1.</w:t>
      </w:r>
      <w:r>
        <w:rPr>
          <w:rFonts w:eastAsiaTheme="minorEastAsia"/>
          <w:bCs w:val="0"/>
          <w:noProof/>
          <w:color w:val="auto"/>
          <w:spacing w:val="0"/>
          <w:sz w:val="22"/>
          <w:szCs w:val="22"/>
          <w:lang w:eastAsia="en-GB"/>
        </w:rPr>
        <w:tab/>
      </w:r>
      <w:r>
        <w:rPr>
          <w:noProof/>
        </w:rPr>
        <w:t>Military Danger Areas</w:t>
      </w:r>
      <w:r>
        <w:rPr>
          <w:noProof/>
        </w:rPr>
        <w:tab/>
      </w:r>
      <w:r>
        <w:rPr>
          <w:noProof/>
        </w:rPr>
        <w:fldChar w:fldCharType="begin"/>
      </w:r>
      <w:r>
        <w:rPr>
          <w:noProof/>
        </w:rPr>
        <w:instrText xml:space="preserve"> PAGEREF _Toc486405369 \h </w:instrText>
      </w:r>
      <w:r>
        <w:rPr>
          <w:noProof/>
        </w:rPr>
      </w:r>
      <w:r>
        <w:rPr>
          <w:noProof/>
        </w:rPr>
        <w:fldChar w:fldCharType="separate"/>
      </w:r>
      <w:r>
        <w:rPr>
          <w:noProof/>
        </w:rPr>
        <w:t>5</w:t>
      </w:r>
      <w:r>
        <w:rPr>
          <w:noProof/>
        </w:rP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2.2.</w:t>
      </w:r>
      <w:r>
        <w:rPr>
          <w:rFonts w:eastAsiaTheme="minorEastAsia"/>
          <w:bCs w:val="0"/>
          <w:noProof/>
          <w:color w:val="auto"/>
          <w:spacing w:val="0"/>
          <w:sz w:val="22"/>
          <w:szCs w:val="22"/>
          <w:lang w:eastAsia="en-GB"/>
        </w:rPr>
        <w:tab/>
      </w:r>
      <w:r>
        <w:rPr>
          <w:noProof/>
        </w:rPr>
        <w:t>VFR Traffic</w:t>
      </w:r>
      <w:r>
        <w:rPr>
          <w:noProof/>
        </w:rPr>
        <w:tab/>
      </w:r>
      <w:r>
        <w:rPr>
          <w:noProof/>
        </w:rPr>
        <w:fldChar w:fldCharType="begin"/>
      </w:r>
      <w:r>
        <w:rPr>
          <w:noProof/>
        </w:rPr>
        <w:instrText xml:space="preserve"> PAGEREF _Toc486405370 \h </w:instrText>
      </w:r>
      <w:r>
        <w:rPr>
          <w:noProof/>
        </w:rPr>
      </w:r>
      <w:r>
        <w:rPr>
          <w:noProof/>
        </w:rPr>
        <w:fldChar w:fldCharType="separate"/>
      </w:r>
      <w:r>
        <w:rPr>
          <w:noProof/>
        </w:rPr>
        <w:t>6</w:t>
      </w:r>
      <w:r>
        <w:rPr>
          <w:noProof/>
        </w:rP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2.3.</w:t>
      </w:r>
      <w:r>
        <w:rPr>
          <w:rFonts w:eastAsiaTheme="minorEastAsia"/>
          <w:bCs w:val="0"/>
          <w:noProof/>
          <w:color w:val="auto"/>
          <w:spacing w:val="0"/>
          <w:sz w:val="22"/>
          <w:szCs w:val="22"/>
          <w:lang w:eastAsia="en-GB"/>
        </w:rPr>
        <w:tab/>
      </w:r>
      <w:r>
        <w:rPr>
          <w:noProof/>
        </w:rPr>
        <w:t>CDRs</w:t>
      </w:r>
      <w:r>
        <w:rPr>
          <w:noProof/>
        </w:rPr>
        <w:tab/>
      </w:r>
      <w:r>
        <w:rPr>
          <w:noProof/>
        </w:rPr>
        <w:fldChar w:fldCharType="begin"/>
      </w:r>
      <w:r>
        <w:rPr>
          <w:noProof/>
        </w:rPr>
        <w:instrText xml:space="preserve"> PAGEREF _Toc486405371 \h </w:instrText>
      </w:r>
      <w:r>
        <w:rPr>
          <w:noProof/>
        </w:rPr>
      </w:r>
      <w:r>
        <w:rPr>
          <w:noProof/>
        </w:rPr>
        <w:fldChar w:fldCharType="separate"/>
      </w:r>
      <w:r>
        <w:rPr>
          <w:noProof/>
        </w:rPr>
        <w:t>6</w:t>
      </w:r>
      <w:r>
        <w:rPr>
          <w:noProof/>
        </w:rPr>
        <w:fldChar w:fldCharType="end"/>
      </w:r>
    </w:p>
    <w:p w:rsidR="00EC7985" w:rsidRDefault="00EC7985">
      <w:pPr>
        <w:pStyle w:val="TOC1"/>
        <w:rPr>
          <w:rFonts w:eastAsiaTheme="minorEastAsia"/>
          <w:b w:val="0"/>
          <w:color w:val="auto"/>
          <w:sz w:val="22"/>
          <w:szCs w:val="22"/>
          <w:lang w:eastAsia="en-GB"/>
        </w:rPr>
      </w:pPr>
      <w:r>
        <w:t>3.</w:t>
      </w:r>
      <w:r>
        <w:rPr>
          <w:rFonts w:eastAsiaTheme="minorEastAsia"/>
          <w:b w:val="0"/>
          <w:color w:val="auto"/>
          <w:sz w:val="22"/>
          <w:szCs w:val="22"/>
          <w:lang w:eastAsia="en-GB"/>
        </w:rPr>
        <w:tab/>
      </w:r>
      <w:r>
        <w:t>Proposed Airspace Change and Operation</w:t>
      </w:r>
      <w:r>
        <w:tab/>
      </w:r>
      <w:r>
        <w:fldChar w:fldCharType="begin"/>
      </w:r>
      <w:r>
        <w:instrText xml:space="preserve"> PAGEREF _Toc486405372 \h </w:instrText>
      </w:r>
      <w:r>
        <w:fldChar w:fldCharType="separate"/>
      </w:r>
      <w:r>
        <w:t>9</w:t>
      </w:r>
      <w:r>
        <w:fldChar w:fldCharType="end"/>
      </w:r>
    </w:p>
    <w:p w:rsidR="00EC7985" w:rsidRDefault="00EC7985">
      <w:pPr>
        <w:pStyle w:val="TOC1"/>
        <w:rPr>
          <w:rFonts w:eastAsiaTheme="minorEastAsia"/>
          <w:b w:val="0"/>
          <w:color w:val="auto"/>
          <w:sz w:val="22"/>
          <w:szCs w:val="22"/>
          <w:lang w:eastAsia="en-GB"/>
        </w:rPr>
      </w:pPr>
      <w:r>
        <w:t>4.</w:t>
      </w:r>
      <w:r>
        <w:rPr>
          <w:rFonts w:eastAsiaTheme="minorEastAsia"/>
          <w:b w:val="0"/>
          <w:color w:val="auto"/>
          <w:sz w:val="22"/>
          <w:szCs w:val="22"/>
          <w:lang w:eastAsia="en-GB"/>
        </w:rPr>
        <w:tab/>
      </w:r>
      <w:r>
        <w:t>Justifiaction for Change</w:t>
      </w:r>
      <w:r>
        <w:tab/>
      </w:r>
      <w:r>
        <w:fldChar w:fldCharType="begin"/>
      </w:r>
      <w:r>
        <w:instrText xml:space="preserve"> PAGEREF _Toc486405373 \h </w:instrText>
      </w:r>
      <w:r>
        <w:fldChar w:fldCharType="separate"/>
      </w:r>
      <w:r>
        <w:t>11</w:t>
      </w:r>
      <w:r>
        <w:fldChar w:fldCharType="end"/>
      </w:r>
    </w:p>
    <w:p w:rsidR="00EC7985" w:rsidRDefault="00EC7985">
      <w:pPr>
        <w:pStyle w:val="TOC1"/>
        <w:rPr>
          <w:rFonts w:eastAsiaTheme="minorEastAsia"/>
          <w:b w:val="0"/>
          <w:color w:val="auto"/>
          <w:sz w:val="22"/>
          <w:szCs w:val="22"/>
          <w:lang w:eastAsia="en-GB"/>
        </w:rPr>
      </w:pPr>
      <w:r>
        <w:t>5.</w:t>
      </w:r>
      <w:r>
        <w:rPr>
          <w:rFonts w:eastAsiaTheme="minorEastAsia"/>
          <w:b w:val="0"/>
          <w:color w:val="auto"/>
          <w:sz w:val="22"/>
          <w:szCs w:val="22"/>
          <w:lang w:eastAsia="en-GB"/>
        </w:rPr>
        <w:tab/>
      </w:r>
      <w:r>
        <w:t>Considered Options</w:t>
      </w:r>
      <w:r>
        <w:tab/>
      </w:r>
      <w:r>
        <w:fldChar w:fldCharType="begin"/>
      </w:r>
      <w:r>
        <w:instrText xml:space="preserve"> PAGEREF _Toc486405374 \h </w:instrText>
      </w:r>
      <w:r>
        <w:fldChar w:fldCharType="separate"/>
      </w:r>
      <w:r>
        <w:t>12</w:t>
      </w:r>
      <w: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5.1.</w:t>
      </w:r>
      <w:r>
        <w:rPr>
          <w:rFonts w:eastAsiaTheme="minorEastAsia"/>
          <w:bCs w:val="0"/>
          <w:noProof/>
          <w:color w:val="auto"/>
          <w:spacing w:val="0"/>
          <w:sz w:val="22"/>
          <w:szCs w:val="22"/>
          <w:lang w:eastAsia="en-GB"/>
        </w:rPr>
        <w:tab/>
      </w:r>
      <w:r>
        <w:rPr>
          <w:noProof/>
        </w:rPr>
        <w:t>Do Nothing (discounted)</w:t>
      </w:r>
      <w:r>
        <w:rPr>
          <w:noProof/>
        </w:rPr>
        <w:tab/>
      </w:r>
      <w:r>
        <w:rPr>
          <w:noProof/>
        </w:rPr>
        <w:fldChar w:fldCharType="begin"/>
      </w:r>
      <w:r>
        <w:rPr>
          <w:noProof/>
        </w:rPr>
        <w:instrText xml:space="preserve"> PAGEREF _Toc486405375 \h </w:instrText>
      </w:r>
      <w:r>
        <w:rPr>
          <w:noProof/>
        </w:rPr>
      </w:r>
      <w:r>
        <w:rPr>
          <w:noProof/>
        </w:rPr>
        <w:fldChar w:fldCharType="separate"/>
      </w:r>
      <w:r>
        <w:rPr>
          <w:noProof/>
        </w:rPr>
        <w:t>12</w:t>
      </w:r>
      <w:r>
        <w:rPr>
          <w:noProof/>
        </w:rP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5.2.</w:t>
      </w:r>
      <w:r>
        <w:rPr>
          <w:rFonts w:eastAsiaTheme="minorEastAsia"/>
          <w:bCs w:val="0"/>
          <w:noProof/>
          <w:color w:val="auto"/>
          <w:spacing w:val="0"/>
          <w:sz w:val="22"/>
          <w:szCs w:val="22"/>
          <w:lang w:eastAsia="en-GB"/>
        </w:rPr>
        <w:tab/>
      </w:r>
      <w:r>
        <w:rPr>
          <w:noProof/>
        </w:rPr>
        <w:t>Minimum CAS Requirement (discounted)</w:t>
      </w:r>
      <w:r>
        <w:rPr>
          <w:noProof/>
        </w:rPr>
        <w:tab/>
      </w:r>
      <w:r>
        <w:rPr>
          <w:noProof/>
        </w:rPr>
        <w:fldChar w:fldCharType="begin"/>
      </w:r>
      <w:r>
        <w:rPr>
          <w:noProof/>
        </w:rPr>
        <w:instrText xml:space="preserve"> PAGEREF _Toc486405376 \h </w:instrText>
      </w:r>
      <w:r>
        <w:rPr>
          <w:noProof/>
        </w:rPr>
      </w:r>
      <w:r>
        <w:rPr>
          <w:noProof/>
        </w:rPr>
        <w:fldChar w:fldCharType="separate"/>
      </w:r>
      <w:r>
        <w:rPr>
          <w:noProof/>
        </w:rPr>
        <w:t>13</w:t>
      </w:r>
      <w:r>
        <w:rPr>
          <w:noProof/>
        </w:rP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5.3.</w:t>
      </w:r>
      <w:r>
        <w:rPr>
          <w:rFonts w:eastAsiaTheme="minorEastAsia"/>
          <w:bCs w:val="0"/>
          <w:noProof/>
          <w:color w:val="auto"/>
          <w:spacing w:val="0"/>
          <w:sz w:val="22"/>
          <w:szCs w:val="22"/>
          <w:lang w:eastAsia="en-GB"/>
        </w:rPr>
        <w:tab/>
      </w:r>
      <w:r>
        <w:rPr>
          <w:noProof/>
        </w:rPr>
        <w:t>Maximum CAS Requirment (discounted, subject modification)</w:t>
      </w:r>
      <w:r>
        <w:rPr>
          <w:noProof/>
        </w:rPr>
        <w:tab/>
      </w:r>
      <w:r>
        <w:rPr>
          <w:noProof/>
        </w:rPr>
        <w:fldChar w:fldCharType="begin"/>
      </w:r>
      <w:r>
        <w:rPr>
          <w:noProof/>
        </w:rPr>
        <w:instrText xml:space="preserve"> PAGEREF _Toc486405377 \h </w:instrText>
      </w:r>
      <w:r>
        <w:rPr>
          <w:noProof/>
        </w:rPr>
      </w:r>
      <w:r>
        <w:rPr>
          <w:noProof/>
        </w:rPr>
        <w:fldChar w:fldCharType="separate"/>
      </w:r>
      <w:r>
        <w:rPr>
          <w:noProof/>
        </w:rPr>
        <w:t>14</w:t>
      </w:r>
      <w:r>
        <w:rPr>
          <w:noProof/>
        </w:rPr>
        <w:fldChar w:fldCharType="end"/>
      </w:r>
    </w:p>
    <w:p w:rsidR="00EC7985" w:rsidRDefault="00EC7985">
      <w:pPr>
        <w:pStyle w:val="TOC2"/>
        <w:tabs>
          <w:tab w:val="left" w:pos="1361"/>
        </w:tabs>
        <w:rPr>
          <w:rFonts w:eastAsiaTheme="minorEastAsia"/>
          <w:bCs w:val="0"/>
          <w:noProof/>
          <w:color w:val="auto"/>
          <w:spacing w:val="0"/>
          <w:sz w:val="22"/>
          <w:szCs w:val="22"/>
          <w:lang w:eastAsia="en-GB"/>
        </w:rPr>
      </w:pPr>
      <w:r>
        <w:rPr>
          <w:noProof/>
        </w:rPr>
        <w:t>5.4.</w:t>
      </w:r>
      <w:r>
        <w:rPr>
          <w:rFonts w:eastAsiaTheme="minorEastAsia"/>
          <w:bCs w:val="0"/>
          <w:noProof/>
          <w:color w:val="auto"/>
          <w:spacing w:val="0"/>
          <w:sz w:val="22"/>
          <w:szCs w:val="22"/>
          <w:lang w:eastAsia="en-GB"/>
        </w:rPr>
        <w:tab/>
      </w:r>
      <w:r>
        <w:rPr>
          <w:noProof/>
        </w:rPr>
        <w:t>Maximum CAS requirement and change of airspace classification for adjacent CTA</w:t>
      </w:r>
      <w:r>
        <w:rPr>
          <w:noProof/>
        </w:rPr>
        <w:tab/>
      </w:r>
      <w:r>
        <w:rPr>
          <w:noProof/>
        </w:rPr>
        <w:fldChar w:fldCharType="begin"/>
      </w:r>
      <w:r>
        <w:rPr>
          <w:noProof/>
        </w:rPr>
        <w:instrText xml:space="preserve"> PAGEREF _Toc486405378 \h </w:instrText>
      </w:r>
      <w:r>
        <w:rPr>
          <w:noProof/>
        </w:rPr>
      </w:r>
      <w:r>
        <w:rPr>
          <w:noProof/>
        </w:rPr>
        <w:fldChar w:fldCharType="separate"/>
      </w:r>
      <w:r>
        <w:rPr>
          <w:noProof/>
        </w:rPr>
        <w:t>15</w:t>
      </w:r>
      <w:r>
        <w:rPr>
          <w:noProof/>
        </w:rPr>
        <w:fldChar w:fldCharType="end"/>
      </w:r>
    </w:p>
    <w:p w:rsidR="00EC7985" w:rsidRDefault="00EC7985">
      <w:pPr>
        <w:pStyle w:val="TOC1"/>
        <w:rPr>
          <w:rFonts w:eastAsiaTheme="minorEastAsia"/>
          <w:b w:val="0"/>
          <w:color w:val="auto"/>
          <w:sz w:val="22"/>
          <w:szCs w:val="22"/>
          <w:lang w:eastAsia="en-GB"/>
        </w:rPr>
      </w:pPr>
      <w:r>
        <w:t>6.</w:t>
      </w:r>
      <w:r>
        <w:rPr>
          <w:rFonts w:eastAsiaTheme="minorEastAsia"/>
          <w:b w:val="0"/>
          <w:color w:val="auto"/>
          <w:sz w:val="22"/>
          <w:szCs w:val="22"/>
          <w:lang w:eastAsia="en-GB"/>
        </w:rPr>
        <w:tab/>
      </w:r>
      <w:r>
        <w:t>How to Respond to this Consultation</w:t>
      </w:r>
      <w:r>
        <w:tab/>
      </w:r>
      <w:r>
        <w:fldChar w:fldCharType="begin"/>
      </w:r>
      <w:r>
        <w:instrText xml:space="preserve"> PAGEREF _Toc486405379 \h </w:instrText>
      </w:r>
      <w:r>
        <w:fldChar w:fldCharType="separate"/>
      </w:r>
      <w:r>
        <w:t>16</w:t>
      </w:r>
      <w:r>
        <w:fldChar w:fldCharType="end"/>
      </w:r>
    </w:p>
    <w:p w:rsidR="00762EE1" w:rsidRPr="006E697B" w:rsidRDefault="00812B30">
      <w:pPr>
        <w:spacing w:line="199" w:lineRule="exact"/>
        <w:rPr>
          <w:spacing w:val="0"/>
        </w:rPr>
      </w:pPr>
      <w:r>
        <w:rPr>
          <w:spacing w:val="0"/>
        </w:rPr>
        <w:fldChar w:fldCharType="end"/>
      </w:r>
    </w:p>
    <w:p w:rsidR="006C171E" w:rsidRPr="006E697B" w:rsidRDefault="006C171E">
      <w:pPr>
        <w:spacing w:line="199" w:lineRule="exact"/>
        <w:rPr>
          <w:spacing w:val="0"/>
        </w:rPr>
      </w:pPr>
      <w:r w:rsidRPr="006E697B">
        <w:rPr>
          <w:spacing w:val="0"/>
        </w:rPr>
        <w:br w:type="page"/>
      </w:r>
    </w:p>
    <w:p w:rsidR="00E22B87" w:rsidRDefault="00C90C84" w:rsidP="00812B30">
      <w:pPr>
        <w:pStyle w:val="Heading1Numbered"/>
        <w:framePr w:wrap="around"/>
      </w:pPr>
      <w:bookmarkStart w:id="0" w:name="_Toc474220102"/>
      <w:bookmarkStart w:id="1" w:name="_Toc486405367"/>
      <w:r>
        <w:lastRenderedPageBreak/>
        <w:t>Introduction</w:t>
      </w:r>
      <w:bookmarkEnd w:id="0"/>
      <w:bookmarkEnd w:id="1"/>
    </w:p>
    <w:p w:rsidR="00C90C84" w:rsidRDefault="00C90C84" w:rsidP="00C90C84">
      <w:pPr>
        <w:rPr>
          <w:lang w:val="fr-CA"/>
        </w:rPr>
      </w:pPr>
      <w:r w:rsidRPr="00C90C84">
        <w:rPr>
          <w:lang w:val="fr-CA"/>
        </w:rPr>
        <w:t xml:space="preserve">This consultation </w:t>
      </w:r>
      <w:proofErr w:type="spellStart"/>
      <w:r w:rsidRPr="00C90C84">
        <w:rPr>
          <w:lang w:val="fr-CA"/>
        </w:rPr>
        <w:t>concerns</w:t>
      </w:r>
      <w:proofErr w:type="spellEnd"/>
      <w:r w:rsidRPr="00C90C84">
        <w:rPr>
          <w:lang w:val="fr-CA"/>
        </w:rPr>
        <w:t xml:space="preserve"> the introduction of Class C </w:t>
      </w:r>
      <w:proofErr w:type="spellStart"/>
      <w:r w:rsidRPr="00C90C84">
        <w:rPr>
          <w:lang w:val="fr-CA"/>
        </w:rPr>
        <w:t>Controlled</w:t>
      </w:r>
      <w:proofErr w:type="spellEnd"/>
      <w:r w:rsidRPr="00C90C84">
        <w:rPr>
          <w:lang w:val="fr-CA"/>
        </w:rPr>
        <w:t xml:space="preserve"> </w:t>
      </w:r>
      <w:proofErr w:type="spellStart"/>
      <w:r w:rsidRPr="00C90C84">
        <w:rPr>
          <w:lang w:val="fr-CA"/>
        </w:rPr>
        <w:t>Airspace</w:t>
      </w:r>
      <w:proofErr w:type="spellEnd"/>
      <w:r w:rsidRPr="00C90C84">
        <w:rPr>
          <w:lang w:val="fr-CA"/>
        </w:rPr>
        <w:t xml:space="preserve"> (CAS) </w:t>
      </w:r>
      <w:proofErr w:type="spellStart"/>
      <w:r w:rsidRPr="00C90C84">
        <w:rPr>
          <w:lang w:val="fr-CA"/>
        </w:rPr>
        <w:t>directly</w:t>
      </w:r>
      <w:proofErr w:type="spellEnd"/>
      <w:r w:rsidRPr="00C90C84">
        <w:rPr>
          <w:lang w:val="fr-CA"/>
        </w:rPr>
        <w:t xml:space="preserve"> </w:t>
      </w:r>
      <w:proofErr w:type="spellStart"/>
      <w:r w:rsidRPr="00C90C84">
        <w:rPr>
          <w:lang w:val="fr-CA"/>
        </w:rPr>
        <w:t>below</w:t>
      </w:r>
      <w:proofErr w:type="spellEnd"/>
      <w:r w:rsidRPr="00C90C84">
        <w:rPr>
          <w:lang w:val="fr-CA"/>
        </w:rPr>
        <w:t xml:space="preserve"> a portion of the </w:t>
      </w:r>
      <w:proofErr w:type="spellStart"/>
      <w:r w:rsidRPr="00C90C84">
        <w:rPr>
          <w:lang w:val="fr-CA"/>
        </w:rPr>
        <w:t>Southern</w:t>
      </w:r>
      <w:proofErr w:type="spellEnd"/>
      <w:r w:rsidRPr="00C90C84">
        <w:rPr>
          <w:lang w:val="fr-CA"/>
        </w:rPr>
        <w:t xml:space="preserve"> Control Area (CTA), </w:t>
      </w:r>
      <w:proofErr w:type="spellStart"/>
      <w:r w:rsidRPr="00C90C84">
        <w:rPr>
          <w:lang w:val="fr-CA"/>
        </w:rPr>
        <w:t>from</w:t>
      </w:r>
      <w:proofErr w:type="spellEnd"/>
      <w:r w:rsidRPr="00C90C84">
        <w:rPr>
          <w:lang w:val="fr-CA"/>
        </w:rPr>
        <w:t xml:space="preserve"> FL125 to FL195 (Black </w:t>
      </w:r>
      <w:proofErr w:type="spellStart"/>
      <w:r w:rsidRPr="00C90C84">
        <w:rPr>
          <w:lang w:val="fr-CA"/>
        </w:rPr>
        <w:t>bordered</w:t>
      </w:r>
      <w:proofErr w:type="spellEnd"/>
      <w:r w:rsidRPr="00C90C84">
        <w:rPr>
          <w:lang w:val="fr-CA"/>
        </w:rPr>
        <w:t xml:space="preserve"> volume in</w:t>
      </w:r>
      <w:r w:rsidR="006E4E47">
        <w:rPr>
          <w:lang w:val="fr-CA"/>
        </w:rPr>
        <w:t xml:space="preserve"> </w:t>
      </w:r>
      <w:r w:rsidR="006E4E47">
        <w:rPr>
          <w:lang w:val="fr-CA"/>
        </w:rPr>
        <w:fldChar w:fldCharType="begin"/>
      </w:r>
      <w:r w:rsidR="006E4E47" w:rsidRPr="006E4E47">
        <w:rPr>
          <w:lang w:val="fr-CA"/>
        </w:rPr>
        <w:instrText xml:space="preserve"> REF _Ref486341255 \h </w:instrText>
      </w:r>
      <w:r w:rsidR="006E4E47">
        <w:rPr>
          <w:lang w:val="fr-CA"/>
        </w:rPr>
        <w:instrText xml:space="preserve"> \* MERGEFORMAT </w:instrText>
      </w:r>
      <w:r w:rsidR="006E4E47">
        <w:rPr>
          <w:lang w:val="fr-CA"/>
        </w:rPr>
      </w:r>
      <w:r w:rsidR="006E4E47">
        <w:rPr>
          <w:lang w:val="fr-CA"/>
        </w:rPr>
        <w:fldChar w:fldCharType="separate"/>
      </w:r>
      <w:r w:rsidR="00EC7985" w:rsidRPr="00EC7985">
        <w:t>Figure</w:t>
      </w:r>
      <w:r w:rsidR="00EC7985" w:rsidRPr="00C90C84">
        <w:rPr>
          <w:sz w:val="20"/>
        </w:rPr>
        <w:t xml:space="preserve"> </w:t>
      </w:r>
      <w:r w:rsidR="00EC7985" w:rsidRPr="00EC7985">
        <w:rPr>
          <w:noProof/>
        </w:rPr>
        <w:t>1</w:t>
      </w:r>
      <w:r w:rsidR="006E4E47">
        <w:rPr>
          <w:lang w:val="fr-CA"/>
        </w:rPr>
        <w:fldChar w:fldCharType="end"/>
      </w:r>
      <w:r w:rsidRPr="00C90C84">
        <w:rPr>
          <w:lang w:val="fr-CA"/>
        </w:rPr>
        <w:t xml:space="preserve">).  The </w:t>
      </w:r>
      <w:proofErr w:type="spellStart"/>
      <w:r w:rsidRPr="00C90C84">
        <w:rPr>
          <w:lang w:val="fr-CA"/>
        </w:rPr>
        <w:t>airspace</w:t>
      </w:r>
      <w:proofErr w:type="spellEnd"/>
      <w:r w:rsidRPr="00C90C84">
        <w:rPr>
          <w:lang w:val="fr-CA"/>
        </w:rPr>
        <w:t xml:space="preserve"> volume </w:t>
      </w:r>
      <w:proofErr w:type="spellStart"/>
      <w:r w:rsidRPr="00C90C84">
        <w:rPr>
          <w:lang w:val="fr-CA"/>
        </w:rPr>
        <w:t>is</w:t>
      </w:r>
      <w:proofErr w:type="spellEnd"/>
      <w:r w:rsidRPr="00C90C84">
        <w:rPr>
          <w:lang w:val="fr-CA"/>
        </w:rPr>
        <w:t xml:space="preserve"> </w:t>
      </w:r>
      <w:proofErr w:type="spellStart"/>
      <w:r w:rsidRPr="00C90C84">
        <w:rPr>
          <w:lang w:val="fr-CA"/>
        </w:rPr>
        <w:t>currently</w:t>
      </w:r>
      <w:proofErr w:type="spellEnd"/>
      <w:r w:rsidRPr="00C90C84">
        <w:rPr>
          <w:lang w:val="fr-CA"/>
        </w:rPr>
        <w:t xml:space="preserve"> Class G. The </w:t>
      </w:r>
      <w:proofErr w:type="spellStart"/>
      <w:r w:rsidRPr="00C90C84">
        <w:rPr>
          <w:lang w:val="fr-CA"/>
        </w:rPr>
        <w:t>Southern</w:t>
      </w:r>
      <w:proofErr w:type="spellEnd"/>
      <w:r w:rsidRPr="00C90C84">
        <w:rPr>
          <w:lang w:val="fr-CA"/>
        </w:rPr>
        <w:t xml:space="preserve"> CTA </w:t>
      </w:r>
      <w:proofErr w:type="spellStart"/>
      <w:r w:rsidRPr="00C90C84">
        <w:rPr>
          <w:lang w:val="fr-CA"/>
        </w:rPr>
        <w:t>sits</w:t>
      </w:r>
      <w:proofErr w:type="spellEnd"/>
      <w:r w:rsidRPr="00C90C84">
        <w:rPr>
          <w:lang w:val="fr-CA"/>
        </w:rPr>
        <w:t xml:space="preserve"> </w:t>
      </w:r>
      <w:proofErr w:type="spellStart"/>
      <w:r w:rsidRPr="00C90C84">
        <w:rPr>
          <w:lang w:val="fr-CA"/>
        </w:rPr>
        <w:t>directly</w:t>
      </w:r>
      <w:proofErr w:type="spellEnd"/>
      <w:r w:rsidRPr="00C90C84">
        <w:rPr>
          <w:lang w:val="fr-CA"/>
        </w:rPr>
        <w:t xml:space="preserve"> </w:t>
      </w:r>
      <w:proofErr w:type="spellStart"/>
      <w:r w:rsidRPr="00C90C84">
        <w:rPr>
          <w:lang w:val="fr-CA"/>
        </w:rPr>
        <w:t>above</w:t>
      </w:r>
      <w:proofErr w:type="spellEnd"/>
      <w:r w:rsidRPr="00C90C84">
        <w:rPr>
          <w:lang w:val="fr-CA"/>
        </w:rPr>
        <w:t xml:space="preserve"> </w:t>
      </w:r>
      <w:proofErr w:type="spellStart"/>
      <w:r w:rsidRPr="00C90C84">
        <w:rPr>
          <w:lang w:val="fr-CA"/>
        </w:rPr>
        <w:t>this</w:t>
      </w:r>
      <w:proofErr w:type="spellEnd"/>
      <w:r w:rsidRPr="00C90C84">
        <w:rPr>
          <w:lang w:val="fr-CA"/>
        </w:rPr>
        <w:t xml:space="preserve">, FL195+ and </w:t>
      </w:r>
      <w:proofErr w:type="spellStart"/>
      <w:r w:rsidRPr="00C90C84">
        <w:rPr>
          <w:lang w:val="fr-CA"/>
        </w:rPr>
        <w:t>is</w:t>
      </w:r>
      <w:proofErr w:type="spellEnd"/>
      <w:r w:rsidRPr="00C90C84">
        <w:rPr>
          <w:lang w:val="fr-CA"/>
        </w:rPr>
        <w:t xml:space="preserve"> Class C.</w:t>
      </w:r>
    </w:p>
    <w:p w:rsidR="00C90C84" w:rsidRDefault="00C90C84" w:rsidP="00A03011">
      <w:pPr>
        <w:keepNext/>
        <w:spacing w:after="120"/>
        <w:jc w:val="center"/>
      </w:pPr>
      <w:r w:rsidRPr="00CE35F4">
        <w:rPr>
          <w:noProof/>
          <w:lang w:eastAsia="en-GB"/>
        </w:rPr>
        <w:drawing>
          <wp:inline distT="0" distB="0" distL="0" distR="0" wp14:anchorId="5A41D086" wp14:editId="60202A9A">
            <wp:extent cx="4591050" cy="552668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893" cy="5539739"/>
                    </a:xfrm>
                    <a:prstGeom prst="rect">
                      <a:avLst/>
                    </a:prstGeom>
                    <a:noFill/>
                    <a:ln>
                      <a:noFill/>
                    </a:ln>
                    <a:effectLst/>
                    <a:extLst/>
                  </pic:spPr>
                </pic:pic>
              </a:graphicData>
            </a:graphic>
          </wp:inline>
        </w:drawing>
      </w:r>
    </w:p>
    <w:p w:rsidR="00C90C84" w:rsidRPr="00C90C84" w:rsidRDefault="00C90C84" w:rsidP="00A03011">
      <w:pPr>
        <w:pStyle w:val="Caption"/>
        <w:jc w:val="center"/>
        <w:rPr>
          <w:sz w:val="20"/>
        </w:rPr>
      </w:pPr>
      <w:bookmarkStart w:id="2" w:name="_Ref486341255"/>
      <w:r w:rsidRPr="00C90C84">
        <w:rPr>
          <w:sz w:val="20"/>
        </w:rPr>
        <w:t xml:space="preserve">Figure </w:t>
      </w:r>
      <w:r w:rsidRPr="00C90C84">
        <w:rPr>
          <w:sz w:val="20"/>
        </w:rPr>
        <w:fldChar w:fldCharType="begin"/>
      </w:r>
      <w:r w:rsidRPr="00C90C84">
        <w:rPr>
          <w:sz w:val="20"/>
        </w:rPr>
        <w:instrText xml:space="preserve"> SEQ Figure \* ARABIC </w:instrText>
      </w:r>
      <w:r w:rsidRPr="00C90C84">
        <w:rPr>
          <w:sz w:val="20"/>
        </w:rPr>
        <w:fldChar w:fldCharType="separate"/>
      </w:r>
      <w:r w:rsidR="00EC7985">
        <w:rPr>
          <w:noProof/>
          <w:sz w:val="20"/>
        </w:rPr>
        <w:t>1</w:t>
      </w:r>
      <w:r w:rsidRPr="00C90C84">
        <w:rPr>
          <w:sz w:val="20"/>
        </w:rPr>
        <w:fldChar w:fldCharType="end"/>
      </w:r>
      <w:bookmarkEnd w:id="2"/>
      <w:r w:rsidRPr="00C90C84">
        <w:rPr>
          <w:sz w:val="20"/>
        </w:rPr>
        <w:t>: Portsmouth &amp; Southern CTA and Surrounding Areas</w:t>
      </w:r>
    </w:p>
    <w:p w:rsidR="000E6BC0" w:rsidRPr="006E697B" w:rsidRDefault="000E6BC0" w:rsidP="00C90C84">
      <w:pPr>
        <w:rPr>
          <w:spacing w:val="0"/>
          <w:lang w:val="fr-CA"/>
        </w:rPr>
      </w:pPr>
      <w:r w:rsidRPr="006E697B">
        <w:rPr>
          <w:spacing w:val="0"/>
          <w:lang w:val="fr-CA"/>
        </w:rPr>
        <w:br w:type="page"/>
      </w:r>
    </w:p>
    <w:p w:rsidR="00C90C84" w:rsidRDefault="00C90C84" w:rsidP="00C90C84">
      <w:proofErr w:type="gramStart"/>
      <w:r>
        <w:lastRenderedPageBreak/>
        <w:t>Both volumes, above and below FL195 sit adjacent to existing CTA boundaries to the north and west (Portsmouth CTAs) and the east (Worthing CTA).</w:t>
      </w:r>
      <w:proofErr w:type="gramEnd"/>
      <w:r>
        <w:t xml:space="preserve">  The portion of the Portsmouth CTA to the west (bordered Blue in </w:t>
      </w:r>
      <w:r w:rsidR="006E4E47">
        <w:fldChar w:fldCharType="begin"/>
      </w:r>
      <w:r w:rsidR="006E4E47" w:rsidRPr="006E4E47">
        <w:instrText xml:space="preserve"> REF _Ref486341255 \h </w:instrText>
      </w:r>
      <w:r w:rsidR="006E4E47">
        <w:instrText xml:space="preserve"> \* MERGEFORMAT </w:instrText>
      </w:r>
      <w:r w:rsidR="006E4E47">
        <w:fldChar w:fldCharType="separate"/>
      </w:r>
      <w:r w:rsidR="00EC7985" w:rsidRPr="00EC7985">
        <w:t xml:space="preserve">Figure </w:t>
      </w:r>
      <w:r w:rsidR="00EC7985" w:rsidRPr="00EC7985">
        <w:rPr>
          <w:noProof/>
        </w:rPr>
        <w:t>1</w:t>
      </w:r>
      <w:r w:rsidR="006E4E47">
        <w:fldChar w:fldCharType="end"/>
      </w:r>
      <w:r>
        <w:t>, FL125+) will be reclassified as Class C airspace from Class A, with the lower level remaining at FL125.</w:t>
      </w:r>
    </w:p>
    <w:p w:rsidR="00C90C84" w:rsidRDefault="00C90C84" w:rsidP="00C90C84">
      <w:r>
        <w:t>No CAS is to be introduced below FL125.</w:t>
      </w:r>
    </w:p>
    <w:p w:rsidR="00C90C84" w:rsidRDefault="00C90C84" w:rsidP="00C90C84">
      <w:r>
        <w:t xml:space="preserve">The military will retain primacy over the Danger Areas (DAs) contained within the airspace and will be able to activate them for use with a minimum of two </w:t>
      </w:r>
      <w:proofErr w:type="spellStart"/>
      <w:r>
        <w:t>hours notice</w:t>
      </w:r>
      <w:proofErr w:type="spellEnd"/>
      <w:r>
        <w:t xml:space="preserve">.  See </w:t>
      </w:r>
      <w:r w:rsidR="006E4E47">
        <w:fldChar w:fldCharType="begin"/>
      </w:r>
      <w:r w:rsidR="006E4E47" w:rsidRPr="006E4E47">
        <w:instrText xml:space="preserve"> REF _Ref486341358 \h </w:instrText>
      </w:r>
      <w:r w:rsidR="006E4E47">
        <w:instrText xml:space="preserve"> \* MERGEFORMAT </w:instrText>
      </w:r>
      <w:r w:rsidR="006E4E47">
        <w:fldChar w:fldCharType="separate"/>
      </w:r>
      <w:r w:rsidR="00EC7985" w:rsidRPr="00EC7985">
        <w:t>Figure</w:t>
      </w:r>
      <w:r w:rsidR="00EC7985" w:rsidRPr="00C90C84">
        <w:rPr>
          <w:sz w:val="20"/>
        </w:rPr>
        <w:t xml:space="preserve"> </w:t>
      </w:r>
      <w:r w:rsidR="00EC7985" w:rsidRPr="00EC7985">
        <w:rPr>
          <w:noProof/>
        </w:rPr>
        <w:t>2</w:t>
      </w:r>
      <w:r w:rsidR="006E4E47">
        <w:fldChar w:fldCharType="end"/>
      </w:r>
      <w:r>
        <w:t xml:space="preserve"> for DAs marked in Red.</w:t>
      </w:r>
    </w:p>
    <w:p w:rsidR="00C90C84" w:rsidRDefault="00C90C84" w:rsidP="00C90C84">
      <w:r>
        <w:t>The purpose of the change is to:</w:t>
      </w:r>
    </w:p>
    <w:p w:rsidR="00C90C84" w:rsidRDefault="00C90C84" w:rsidP="00C90C84">
      <w:pPr>
        <w:pStyle w:val="ListParagraph"/>
        <w:numPr>
          <w:ilvl w:val="0"/>
          <w:numId w:val="48"/>
        </w:numPr>
      </w:pPr>
      <w:r>
        <w:t>Provide additional CAS to enable an improved descent profile for a new Conditional Route (CDR) M185 (the introduction of which is currently under consideration by the CAA – illustrated as the most easterly of the two Orange routes in Error! Reference source not found.).</w:t>
      </w:r>
    </w:p>
    <w:p w:rsidR="00C90C84" w:rsidRDefault="00C90C84" w:rsidP="00C90C84">
      <w:pPr>
        <w:pStyle w:val="ListParagraph"/>
        <w:numPr>
          <w:ilvl w:val="0"/>
          <w:numId w:val="48"/>
        </w:numPr>
      </w:pPr>
      <w:r>
        <w:t>Enable tactical direct routings to and from the Channel Islands CTA to London City, Gatwick and other destinations.</w:t>
      </w:r>
    </w:p>
    <w:p w:rsidR="00C90C84" w:rsidRDefault="00C90C84" w:rsidP="00C90C84">
      <w:pPr>
        <w:pStyle w:val="ListParagraph"/>
        <w:numPr>
          <w:ilvl w:val="0"/>
          <w:numId w:val="48"/>
        </w:numPr>
      </w:pPr>
      <w:r>
        <w:t>Enable the introduction of an en-route hold for aircraft inbound to Luton and Stansted airports</w:t>
      </w:r>
    </w:p>
    <w:p w:rsidR="00C90C84" w:rsidRDefault="00C90C84" w:rsidP="00C90C84">
      <w:pPr>
        <w:pStyle w:val="ListParagraph"/>
        <w:numPr>
          <w:ilvl w:val="0"/>
          <w:numId w:val="48"/>
        </w:numPr>
      </w:pPr>
      <w:r>
        <w:t>Give a consistent lower level to the CTAs in Error! Reference source not found., of FL125</w:t>
      </w:r>
    </w:p>
    <w:p w:rsidR="00C90C84" w:rsidRDefault="00C90C84" w:rsidP="00C90C84">
      <w:pPr>
        <w:pStyle w:val="ListParagraph"/>
        <w:numPr>
          <w:ilvl w:val="0"/>
          <w:numId w:val="48"/>
        </w:numPr>
      </w:pPr>
      <w:r>
        <w:t xml:space="preserve">Give a consistent airspace classification to the CTAs in </w:t>
      </w:r>
      <w:r w:rsidR="00C24D0E">
        <w:fldChar w:fldCharType="begin"/>
      </w:r>
      <w:r w:rsidR="00C24D0E" w:rsidRPr="00C24D0E">
        <w:instrText xml:space="preserve"> REF _Ref486341255 \h </w:instrText>
      </w:r>
      <w:r w:rsidR="00C24D0E">
        <w:instrText xml:space="preserve"> \* MERGEFORMAT </w:instrText>
      </w:r>
      <w:r w:rsidR="00C24D0E">
        <w:fldChar w:fldCharType="separate"/>
      </w:r>
      <w:r w:rsidR="00EC7985" w:rsidRPr="00EC7985">
        <w:t>Figure</w:t>
      </w:r>
      <w:r w:rsidR="00EC7985" w:rsidRPr="00C90C84">
        <w:rPr>
          <w:sz w:val="20"/>
        </w:rPr>
        <w:t xml:space="preserve"> </w:t>
      </w:r>
      <w:r w:rsidR="00EC7985" w:rsidRPr="00EC7985">
        <w:rPr>
          <w:noProof/>
        </w:rPr>
        <w:t>1</w:t>
      </w:r>
      <w:r w:rsidR="00C24D0E">
        <w:fldChar w:fldCharType="end"/>
      </w:r>
      <w:r>
        <w:t>, of Class C</w:t>
      </w:r>
    </w:p>
    <w:p w:rsidR="00C90C84" w:rsidRDefault="00C90C84" w:rsidP="00C90C84">
      <w:pPr>
        <w:pStyle w:val="ListParagraph"/>
        <w:numPr>
          <w:ilvl w:val="0"/>
          <w:numId w:val="48"/>
        </w:numPr>
      </w:pPr>
      <w:r>
        <w:t>Provide additional CAS for weather avoidance manoeuvres by civil ATC</w:t>
      </w:r>
    </w:p>
    <w:p w:rsidR="00C90C84" w:rsidRDefault="00C90C84" w:rsidP="00C90C84">
      <w:pPr>
        <w:pStyle w:val="ListParagraph"/>
        <w:numPr>
          <w:ilvl w:val="0"/>
          <w:numId w:val="48"/>
        </w:numPr>
      </w:pPr>
      <w:r>
        <w:t>Remove a current cul-de-sac of Class G airspace which is currently surrounded by CAS on three sides</w:t>
      </w:r>
    </w:p>
    <w:p w:rsidR="00C90C84" w:rsidRDefault="00C90C84" w:rsidP="00C90C84">
      <w:r>
        <w:t xml:space="preserve">This proposal is one aspect of a wider suite of changes with the aim of introducing Performance Based Navigation (PBN) routes into the UK airspace structure in the south of the UK.  The umbrella project for these changes is called the </w:t>
      </w:r>
      <w:proofErr w:type="spellStart"/>
      <w:r>
        <w:t>Swanwick</w:t>
      </w:r>
      <w:proofErr w:type="spellEnd"/>
      <w:r>
        <w:t xml:space="preserve"> Airspace Improvement Programme (SAIP).  The CAA is currently considering an earlier aspect of SAIP which includes the introduction of the afore mentioned (U</w:t>
      </w:r>
      <w:proofErr w:type="gramStart"/>
      <w:r>
        <w:t>)M185</w:t>
      </w:r>
      <w:proofErr w:type="gramEnd"/>
      <w:r>
        <w:t xml:space="preserve"> CDR for activation in November 2017.  This proposal to introduce additional CAS in the volume below a portion of the Southern CTA will facilitate the more efficient use of that route. </w:t>
      </w:r>
      <w:bookmarkStart w:id="3" w:name="_GoBack"/>
      <w:bookmarkEnd w:id="3"/>
    </w:p>
    <w:p w:rsidR="00C90C84" w:rsidRDefault="00C90C84" w:rsidP="00C90C84">
      <w:r>
        <w:t xml:space="preserve">The consultation will run from </w:t>
      </w:r>
      <w:r w:rsidR="00257377">
        <w:t>30/06</w:t>
      </w:r>
      <w:r w:rsidR="00A847FB">
        <w:t>/2017</w:t>
      </w:r>
      <w:r>
        <w:t xml:space="preserve"> for a period of 8 weeks and will close on </w:t>
      </w:r>
      <w:r w:rsidR="00A847FB">
        <w:t>25/08/2017</w:t>
      </w:r>
      <w:r>
        <w:t xml:space="preserve">. </w:t>
      </w:r>
    </w:p>
    <w:p w:rsidR="00C90C84" w:rsidRDefault="00C90C84" w:rsidP="00C90C84">
      <w:r>
        <w:t xml:space="preserve">NATS is following the CAA’s process CAP725 ‘CAA Guidance on the Application of the Airspace Change Process’ to consult on and hopefully introduce these procedures.  </w:t>
      </w:r>
    </w:p>
    <w:p w:rsidR="00C90C84" w:rsidRDefault="00C90C84" w:rsidP="00C90C84">
      <w:r>
        <w:t xml:space="preserve">NATS is seeking your views on our preferred option for this change. </w:t>
      </w:r>
    </w:p>
    <w:p w:rsidR="00C90C84" w:rsidRDefault="00C90C84" w:rsidP="00C90C84">
      <w:r>
        <w:t>This document has been designed to provide information you may need to understand the consultation and to gain an insight into how and why the change is being proposed in the way that it is.   We have included information on the preferred option as well details on options which have been discounted as less suitable.</w:t>
      </w:r>
    </w:p>
    <w:p w:rsidR="00C90C84" w:rsidRDefault="00C90C84" w:rsidP="00C90C84">
      <w:pPr>
        <w:pStyle w:val="Heading1Numbered"/>
        <w:framePr w:wrap="around"/>
      </w:pPr>
      <w:bookmarkStart w:id="4" w:name="_Toc486405368"/>
      <w:r>
        <w:lastRenderedPageBreak/>
        <w:t>Current Airspace &amp; Operations</w:t>
      </w:r>
      <w:bookmarkEnd w:id="4"/>
    </w:p>
    <w:p w:rsidR="00C90C84" w:rsidRDefault="00C90C84" w:rsidP="00C90C84">
      <w:r w:rsidRPr="00C90C84">
        <w:t xml:space="preserve">The Southern CTA (Black bordered volume of airspace, </w:t>
      </w:r>
      <w:r w:rsidR="006E4E47">
        <w:fldChar w:fldCharType="begin"/>
      </w:r>
      <w:r w:rsidR="006E4E47" w:rsidRPr="006E4E47">
        <w:instrText xml:space="preserve"> REF _Ref486341358 \h </w:instrText>
      </w:r>
      <w:r w:rsidR="006E4E47">
        <w:instrText xml:space="preserve"> \* MERGEFORMAT </w:instrText>
      </w:r>
      <w:r w:rsidR="006E4E47">
        <w:fldChar w:fldCharType="separate"/>
      </w:r>
      <w:r w:rsidR="00EC7985" w:rsidRPr="00EC7985">
        <w:t>Figure</w:t>
      </w:r>
      <w:r w:rsidR="00EC7985" w:rsidRPr="00C90C84">
        <w:rPr>
          <w:sz w:val="20"/>
        </w:rPr>
        <w:t xml:space="preserve"> </w:t>
      </w:r>
      <w:r w:rsidR="00EC7985" w:rsidRPr="00EC7985">
        <w:rPr>
          <w:noProof/>
        </w:rPr>
        <w:t>2</w:t>
      </w:r>
      <w:r w:rsidR="006E4E47">
        <w:fldChar w:fldCharType="end"/>
      </w:r>
      <w:r w:rsidRPr="00C90C84">
        <w:t xml:space="preserve"> and shaded area </w:t>
      </w:r>
      <w:r w:rsidR="006E4E47">
        <w:fldChar w:fldCharType="begin"/>
      </w:r>
      <w:r w:rsidR="006E4E47" w:rsidRPr="006E4E47">
        <w:instrText xml:space="preserve"> REF _Ref486341404 \h </w:instrText>
      </w:r>
      <w:r w:rsidR="006E4E47">
        <w:instrText xml:space="preserve"> \* MERGEFORMAT </w:instrText>
      </w:r>
      <w:r w:rsidR="006E4E47">
        <w:fldChar w:fldCharType="separate"/>
      </w:r>
      <w:r w:rsidR="00EC7985" w:rsidRPr="00EC7985">
        <w:t>Figure</w:t>
      </w:r>
      <w:r w:rsidR="00EC7985" w:rsidRPr="00A03011">
        <w:rPr>
          <w:sz w:val="20"/>
        </w:rPr>
        <w:t xml:space="preserve"> </w:t>
      </w:r>
      <w:r w:rsidR="00EC7985" w:rsidRPr="00EC7985">
        <w:rPr>
          <w:noProof/>
        </w:rPr>
        <w:t>3</w:t>
      </w:r>
      <w:r w:rsidR="006E4E47">
        <w:fldChar w:fldCharType="end"/>
      </w:r>
      <w:r w:rsidRPr="00C90C84">
        <w:t xml:space="preserve">) is currently Class C airspace, FL195+.  Directly below this is uncontrolled Class G airspace.  The volume from the surface upwards contains the military Danger Areas (DAs) D039 and D040 and a portion of D037 from the surface to 55000ft (Red blocks in </w:t>
      </w:r>
      <w:r w:rsidR="006E4E47">
        <w:fldChar w:fldCharType="begin"/>
      </w:r>
      <w:r w:rsidR="006E4E47" w:rsidRPr="006E4E47">
        <w:instrText xml:space="preserve"> REF _Ref486341358 \h </w:instrText>
      </w:r>
      <w:r w:rsidR="006E4E47">
        <w:instrText xml:space="preserve"> \* MERGEFORMAT </w:instrText>
      </w:r>
      <w:r w:rsidR="006E4E47">
        <w:fldChar w:fldCharType="separate"/>
      </w:r>
      <w:r w:rsidR="00EC7985" w:rsidRPr="00EC7985">
        <w:t>Figure</w:t>
      </w:r>
      <w:r w:rsidR="00EC7985" w:rsidRPr="00C90C84">
        <w:rPr>
          <w:sz w:val="20"/>
        </w:rPr>
        <w:t xml:space="preserve"> </w:t>
      </w:r>
      <w:r w:rsidR="00EC7985" w:rsidRPr="00EC7985">
        <w:rPr>
          <w:noProof/>
        </w:rPr>
        <w:t>2</w:t>
      </w:r>
      <w:r w:rsidR="006E4E47">
        <w:fldChar w:fldCharType="end"/>
      </w:r>
      <w:r w:rsidRPr="00C90C84">
        <w:t>).  When the DAs are inactive both IFR and VFR traffic can operate in the airspace, with IFR generally at FL195+ (although IFR can operate in Class G airspace) and VFR below this and more usually below FL100.</w:t>
      </w:r>
    </w:p>
    <w:p w:rsidR="00C90C84" w:rsidRDefault="00C90C84" w:rsidP="00A03011">
      <w:pPr>
        <w:keepNext/>
        <w:spacing w:after="120"/>
        <w:jc w:val="center"/>
      </w:pPr>
      <w:r w:rsidRPr="00781F29">
        <w:rPr>
          <w:noProof/>
          <w:lang w:eastAsia="en-GB"/>
        </w:rPr>
        <w:drawing>
          <wp:inline distT="0" distB="0" distL="0" distR="0" wp14:anchorId="30CB4571" wp14:editId="428830C6">
            <wp:extent cx="5019675" cy="3585069"/>
            <wp:effectExtent l="19050" t="19050" r="9525" b="158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9601" b="31073"/>
                    <a:stretch/>
                  </pic:blipFill>
                  <pic:spPr bwMode="auto">
                    <a:xfrm>
                      <a:off x="0" y="0"/>
                      <a:ext cx="5025512" cy="3589238"/>
                    </a:xfrm>
                    <a:prstGeom prst="rect">
                      <a:avLst/>
                    </a:prstGeom>
                    <a:noFill/>
                    <a:ln w="9525">
                      <a:solidFill>
                        <a:schemeClr val="tx1"/>
                      </a:solidFill>
                      <a:miter lim="800000"/>
                      <a:headEnd/>
                      <a:tailEnd/>
                    </a:ln>
                    <a:effectLst/>
                    <a:extLst/>
                  </pic:spPr>
                </pic:pic>
              </a:graphicData>
            </a:graphic>
          </wp:inline>
        </w:drawing>
      </w:r>
    </w:p>
    <w:p w:rsidR="00C90C84" w:rsidRDefault="00C90C84" w:rsidP="00A03011">
      <w:pPr>
        <w:pStyle w:val="Caption"/>
        <w:jc w:val="center"/>
        <w:rPr>
          <w:sz w:val="20"/>
        </w:rPr>
      </w:pPr>
      <w:bookmarkStart w:id="5" w:name="_Ref486341358"/>
      <w:r w:rsidRPr="00C90C84">
        <w:rPr>
          <w:sz w:val="20"/>
        </w:rPr>
        <w:t xml:space="preserve">Figure </w:t>
      </w:r>
      <w:r w:rsidRPr="00C90C84">
        <w:rPr>
          <w:sz w:val="20"/>
        </w:rPr>
        <w:fldChar w:fldCharType="begin"/>
      </w:r>
      <w:r w:rsidRPr="00C90C84">
        <w:rPr>
          <w:sz w:val="20"/>
        </w:rPr>
        <w:instrText xml:space="preserve"> SEQ Figure \* ARABIC </w:instrText>
      </w:r>
      <w:r w:rsidRPr="00C90C84">
        <w:rPr>
          <w:sz w:val="20"/>
        </w:rPr>
        <w:fldChar w:fldCharType="separate"/>
      </w:r>
      <w:r w:rsidR="00EC7985">
        <w:rPr>
          <w:noProof/>
          <w:sz w:val="20"/>
        </w:rPr>
        <w:t>2</w:t>
      </w:r>
      <w:r w:rsidRPr="00C90C84">
        <w:rPr>
          <w:sz w:val="20"/>
        </w:rPr>
        <w:fldChar w:fldCharType="end"/>
      </w:r>
      <w:bookmarkEnd w:id="5"/>
      <w:r w:rsidRPr="00C90C84">
        <w:rPr>
          <w:sz w:val="20"/>
        </w:rPr>
        <w:t>: Danger Areas within the Portsmouth &amp; Southern CTAs</w:t>
      </w:r>
    </w:p>
    <w:p w:rsidR="00C90C84" w:rsidRPr="00C90C84" w:rsidRDefault="00C90C84" w:rsidP="00C90C84"/>
    <w:p w:rsidR="00C90C84" w:rsidRPr="00C90C84" w:rsidRDefault="00C90C84" w:rsidP="00C90C84">
      <w:pPr>
        <w:pStyle w:val="Heading2Numbered"/>
      </w:pPr>
      <w:bookmarkStart w:id="6" w:name="_Toc486405369"/>
      <w:r>
        <w:t>Military Danger Areas</w:t>
      </w:r>
      <w:bookmarkEnd w:id="6"/>
    </w:p>
    <w:p w:rsidR="007B66FE" w:rsidRDefault="007B66FE" w:rsidP="00C90C84">
      <w:r w:rsidRPr="007B66FE">
        <w:t xml:space="preserve">The military have primacy over the airspace.  The DAs will be considered live unless the military state otherwise (a procedure is currently in place for this and occurs on a daily basis, Monday to Friday) and they will be able to activate their DAs for use with two </w:t>
      </w:r>
      <w:proofErr w:type="spellStart"/>
      <w:r w:rsidRPr="007B66FE">
        <w:t>hours notice</w:t>
      </w:r>
      <w:proofErr w:type="spellEnd"/>
      <w:r w:rsidRPr="007B66FE">
        <w:t>, again as today, between the following times:</w:t>
      </w:r>
    </w:p>
    <w:p w:rsidR="00C90C84" w:rsidRDefault="00C90C84" w:rsidP="00C90C84">
      <w:r>
        <w:t>D037/039/040 – 0800 to 1800 Monday to Friday, one hour earlier in the summer.</w:t>
      </w:r>
    </w:p>
    <w:p w:rsidR="00C90C84" w:rsidRDefault="00C90C84" w:rsidP="00C90C84">
      <w:r>
        <w:t xml:space="preserve">Analysis of the six month period (August 2016 to January 2017) is illustrated in </w:t>
      </w:r>
      <w:r w:rsidR="007B66FE">
        <w:fldChar w:fldCharType="begin"/>
      </w:r>
      <w:r w:rsidR="007B66FE">
        <w:instrText xml:space="preserve"> REF _Ref486343962 \h </w:instrText>
      </w:r>
      <w:r w:rsidR="007B66FE">
        <w:fldChar w:fldCharType="separate"/>
      </w:r>
      <w:r w:rsidR="00EC7985" w:rsidRPr="00687ACA">
        <w:rPr>
          <w:sz w:val="20"/>
        </w:rPr>
        <w:t xml:space="preserve">Table </w:t>
      </w:r>
      <w:r w:rsidR="00EC7985">
        <w:rPr>
          <w:noProof/>
          <w:sz w:val="20"/>
        </w:rPr>
        <w:t>1</w:t>
      </w:r>
      <w:r w:rsidR="007B66FE">
        <w:fldChar w:fldCharType="end"/>
      </w:r>
      <w:r>
        <w:t xml:space="preserve">.  The DAs were active for an average of 59 hours a month (excluding December from the calculation) from a maximum 735 hours a month based on 24 hours per day, 7 days per week.  This represents </w:t>
      </w:r>
      <w:proofErr w:type="gramStart"/>
      <w:r>
        <w:t>a</w:t>
      </w:r>
      <w:proofErr w:type="gramEnd"/>
      <w:r>
        <w:t xml:space="preserve"> utilisation by the military of approximately 8% of total time making it available for civil traffic for the remaining 92% of the time. </w:t>
      </w:r>
    </w:p>
    <w:p w:rsidR="00C90C84" w:rsidRDefault="00C90C84" w:rsidP="00C90C84">
      <w:r>
        <w:lastRenderedPageBreak/>
        <w:t>When available, civil ATC routinely route aircraft through the airspace at FL195+ to reduce track mileage, predominantly heading to Luton and Stansted airports or to Gatwick airport during quiet hours.  Civil traffic also uses the airspace below FL195 to reduce route mileage but this is less frequent as it involves traversing uncontrolled Class G airspace, an option which is not open all aircraft operators.</w:t>
      </w:r>
    </w:p>
    <w:p w:rsidR="00C90C84" w:rsidRDefault="00C90C84" w:rsidP="00C90C84">
      <w:proofErr w:type="gramStart"/>
      <w:r>
        <w:t>Expressed as a percentage of the stated potential operating times of the DAs, 59 hours represents 27% military utilisation per month.</w:t>
      </w:r>
      <w:proofErr w:type="gramEnd"/>
      <w:r>
        <w:t xml:space="preserve">  </w:t>
      </w:r>
    </w:p>
    <w:p w:rsidR="00A03011" w:rsidRDefault="00C90C84" w:rsidP="00A03011">
      <w:pPr>
        <w:keepNext/>
        <w:spacing w:after="0"/>
        <w:jc w:val="center"/>
      </w:pPr>
      <w:r w:rsidRPr="002471E2">
        <w:rPr>
          <w:noProof/>
          <w:lang w:eastAsia="en-GB"/>
        </w:rPr>
        <w:drawing>
          <wp:inline distT="0" distB="0" distL="0" distR="0" wp14:anchorId="1BCCCF2E" wp14:editId="1981ECEB">
            <wp:extent cx="5457825" cy="356993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901" cy="3576528"/>
                    </a:xfrm>
                    <a:prstGeom prst="rect">
                      <a:avLst/>
                    </a:prstGeom>
                    <a:noFill/>
                    <a:ln>
                      <a:noFill/>
                    </a:ln>
                    <a:effectLst/>
                    <a:extLst/>
                  </pic:spPr>
                </pic:pic>
              </a:graphicData>
            </a:graphic>
          </wp:inline>
        </w:drawing>
      </w:r>
    </w:p>
    <w:p w:rsidR="00C90C84" w:rsidRPr="00687ACA" w:rsidRDefault="00A03011" w:rsidP="00A03011">
      <w:pPr>
        <w:pStyle w:val="Caption"/>
        <w:jc w:val="center"/>
        <w:rPr>
          <w:sz w:val="20"/>
        </w:rPr>
      </w:pPr>
      <w:bookmarkStart w:id="7" w:name="_Ref486343962"/>
      <w:r w:rsidRPr="00687ACA">
        <w:rPr>
          <w:sz w:val="20"/>
        </w:rPr>
        <w:t xml:space="preserve">Table </w:t>
      </w:r>
      <w:r w:rsidRPr="00687ACA">
        <w:rPr>
          <w:sz w:val="20"/>
        </w:rPr>
        <w:fldChar w:fldCharType="begin"/>
      </w:r>
      <w:r w:rsidRPr="00687ACA">
        <w:rPr>
          <w:sz w:val="20"/>
        </w:rPr>
        <w:instrText xml:space="preserve"> SEQ Table \* ARABIC </w:instrText>
      </w:r>
      <w:r w:rsidRPr="00687ACA">
        <w:rPr>
          <w:sz w:val="20"/>
        </w:rPr>
        <w:fldChar w:fldCharType="separate"/>
      </w:r>
      <w:r w:rsidR="00EC7985">
        <w:rPr>
          <w:noProof/>
          <w:sz w:val="20"/>
        </w:rPr>
        <w:t>1</w:t>
      </w:r>
      <w:r w:rsidRPr="00687ACA">
        <w:rPr>
          <w:sz w:val="20"/>
        </w:rPr>
        <w:fldChar w:fldCharType="end"/>
      </w:r>
      <w:bookmarkEnd w:id="7"/>
      <w:r w:rsidRPr="00687ACA">
        <w:rPr>
          <w:sz w:val="20"/>
        </w:rPr>
        <w:t>: Analysis of Danger Area Activity by Month</w:t>
      </w:r>
    </w:p>
    <w:p w:rsidR="00A03011" w:rsidRDefault="00A03011" w:rsidP="00A03011"/>
    <w:p w:rsidR="00A03011" w:rsidRDefault="00A03011" w:rsidP="00A03011">
      <w:pPr>
        <w:pStyle w:val="Heading2Numbered"/>
      </w:pPr>
      <w:bookmarkStart w:id="8" w:name="_Toc486405370"/>
      <w:r>
        <w:t>VFR Traffic</w:t>
      </w:r>
      <w:bookmarkEnd w:id="8"/>
    </w:p>
    <w:p w:rsidR="00A03011" w:rsidRDefault="00A03011" w:rsidP="00A03011">
      <w:r w:rsidRPr="00A03011">
        <w:t xml:space="preserve">Analysis indicates that there was zero General Aviation, VFR utilisation of the airspace during the 6 month period August 2016 to January 2017.  The analysis looked for aircraft using the transponder </w:t>
      </w:r>
      <w:proofErr w:type="spellStart"/>
      <w:r w:rsidRPr="00A03011">
        <w:t>conspicuity</w:t>
      </w:r>
      <w:proofErr w:type="spellEnd"/>
      <w:r w:rsidRPr="00A03011">
        <w:t xml:space="preserve"> code 7000 or the Flight Information Service code 1177.  The analysis looked for aircraft in the FL125 to FL195 band, heights at which aircraft are required to use a transponder, if fitted.  </w:t>
      </w:r>
    </w:p>
    <w:p w:rsidR="00A03011" w:rsidRDefault="00A03011" w:rsidP="00A03011"/>
    <w:p w:rsidR="00A03011" w:rsidRDefault="00A03011" w:rsidP="00A03011">
      <w:pPr>
        <w:pStyle w:val="Heading2Numbered"/>
      </w:pPr>
      <w:bookmarkStart w:id="9" w:name="_Toc486405371"/>
      <w:r>
        <w:t>CDRs</w:t>
      </w:r>
      <w:bookmarkEnd w:id="9"/>
    </w:p>
    <w:p w:rsidR="00A03011" w:rsidRDefault="00A03011" w:rsidP="00A03011">
      <w:r>
        <w:t>The CDR (U</w:t>
      </w:r>
      <w:proofErr w:type="gramStart"/>
      <w:r>
        <w:t>)M185</w:t>
      </w:r>
      <w:proofErr w:type="gramEnd"/>
      <w:r>
        <w:t xml:space="preserve"> is under consideration for approval by the CAA.  If approved it would go live in November 2017.  Traffic on this route would be restricted to FL200+ unless the changed proposed in this paper enacted in which case the route restriction would be changed to the lowest usable level of the CAS (FL130+).  </w:t>
      </w:r>
    </w:p>
    <w:p w:rsidR="00A03011" w:rsidRDefault="00A03011" w:rsidP="00A03011">
      <w:r>
        <w:t xml:space="preserve">With the current airspace, traffic on CDR (U)M185 will descend to FL200 by point DESNA and be given further descent to FL190 by point TELTU (see </w:t>
      </w:r>
      <w:r w:rsidR="006E4E47">
        <w:fldChar w:fldCharType="begin"/>
      </w:r>
      <w:r w:rsidR="006E4E47" w:rsidRPr="006E4E47">
        <w:instrText xml:space="preserve"> REF _Ref486341404 \h </w:instrText>
      </w:r>
      <w:r w:rsidR="006E4E47">
        <w:instrText xml:space="preserve"> \* MERGEFORMAT </w:instrText>
      </w:r>
      <w:r w:rsidR="006E4E47">
        <w:fldChar w:fldCharType="separate"/>
      </w:r>
      <w:r w:rsidR="00EC7985" w:rsidRPr="00EC7985">
        <w:t>Figure</w:t>
      </w:r>
      <w:r w:rsidR="00EC7985" w:rsidRPr="00A03011">
        <w:rPr>
          <w:sz w:val="20"/>
        </w:rPr>
        <w:t xml:space="preserve"> </w:t>
      </w:r>
      <w:r w:rsidR="00EC7985" w:rsidRPr="00EC7985">
        <w:rPr>
          <w:noProof/>
        </w:rPr>
        <w:t>3</w:t>
      </w:r>
      <w:r w:rsidR="006E4E47">
        <w:fldChar w:fldCharType="end"/>
      </w:r>
      <w:r>
        <w:t xml:space="preserve">).  This represents two radio </w:t>
      </w:r>
      <w:r>
        <w:lastRenderedPageBreak/>
        <w:t>transmissions from ATC and a non-optimised descent profile and includes the risk of aircraft entering the next sector at an incorrect (higher) level.  Lowering the CAS base in this area would improve this.</w:t>
      </w:r>
    </w:p>
    <w:p w:rsidR="00A03011" w:rsidRDefault="00A03011" w:rsidP="00A03011">
      <w:pPr>
        <w:keepNext/>
        <w:spacing w:after="120"/>
        <w:jc w:val="center"/>
      </w:pPr>
      <w:r w:rsidRPr="001229EA">
        <w:rPr>
          <w:noProof/>
          <w:lang w:eastAsia="en-GB"/>
        </w:rPr>
        <w:drawing>
          <wp:inline distT="0" distB="0" distL="0" distR="0" wp14:anchorId="498A1DD1" wp14:editId="296EE030">
            <wp:extent cx="4834609" cy="434340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132" cy="4347464"/>
                    </a:xfrm>
                    <a:prstGeom prst="rect">
                      <a:avLst/>
                    </a:prstGeom>
                    <a:noFill/>
                    <a:ln>
                      <a:noFill/>
                    </a:ln>
                    <a:effectLst/>
                    <a:extLst/>
                  </pic:spPr>
                </pic:pic>
              </a:graphicData>
            </a:graphic>
          </wp:inline>
        </w:drawing>
      </w:r>
    </w:p>
    <w:p w:rsidR="00A03011" w:rsidRDefault="00A03011" w:rsidP="00A03011">
      <w:pPr>
        <w:pStyle w:val="Caption"/>
        <w:jc w:val="center"/>
        <w:rPr>
          <w:sz w:val="20"/>
        </w:rPr>
      </w:pPr>
      <w:bookmarkStart w:id="10" w:name="_Ref486341404"/>
      <w:r w:rsidRPr="00A03011">
        <w:rPr>
          <w:sz w:val="20"/>
        </w:rPr>
        <w:t xml:space="preserve">Figure </w:t>
      </w:r>
      <w:r w:rsidRPr="00A03011">
        <w:rPr>
          <w:sz w:val="20"/>
        </w:rPr>
        <w:fldChar w:fldCharType="begin"/>
      </w:r>
      <w:r w:rsidRPr="00A03011">
        <w:rPr>
          <w:sz w:val="20"/>
        </w:rPr>
        <w:instrText xml:space="preserve"> SEQ Figure \* ARABIC </w:instrText>
      </w:r>
      <w:r w:rsidRPr="00A03011">
        <w:rPr>
          <w:sz w:val="20"/>
        </w:rPr>
        <w:fldChar w:fldCharType="separate"/>
      </w:r>
      <w:r w:rsidR="00EC7985">
        <w:rPr>
          <w:noProof/>
          <w:sz w:val="20"/>
        </w:rPr>
        <w:t>3</w:t>
      </w:r>
      <w:r w:rsidRPr="00A03011">
        <w:rPr>
          <w:sz w:val="20"/>
        </w:rPr>
        <w:fldChar w:fldCharType="end"/>
      </w:r>
      <w:bookmarkEnd w:id="10"/>
      <w:r w:rsidRPr="00A03011">
        <w:rPr>
          <w:sz w:val="20"/>
        </w:rPr>
        <w:t>: Portion of the Southern CTA with (U</w:t>
      </w:r>
      <w:proofErr w:type="gramStart"/>
      <w:r w:rsidRPr="00A03011">
        <w:rPr>
          <w:sz w:val="20"/>
        </w:rPr>
        <w:t>)M185</w:t>
      </w:r>
      <w:proofErr w:type="gramEnd"/>
      <w:r w:rsidRPr="00A03011">
        <w:rPr>
          <w:sz w:val="20"/>
        </w:rPr>
        <w:t xml:space="preserve"> reporting points</w:t>
      </w:r>
    </w:p>
    <w:p w:rsidR="00A03011" w:rsidRDefault="00A03011" w:rsidP="00A03011"/>
    <w:p w:rsidR="00A03011" w:rsidRDefault="00A03011" w:rsidP="00A03011">
      <w:r>
        <w:t>During periods of weather avoidance the CTA is used by civil ATC to manoeuvre and hold aircraft.  The majority of the time this is at FL195+ however it is sometimes necessary to utilise the Class G airspace below the Southern CTA.  This is not a common occurrence, anecdotally on 5 or 6 days a year.</w:t>
      </w:r>
    </w:p>
    <w:p w:rsidR="00A03011" w:rsidRDefault="00A03011" w:rsidP="00A03011">
      <w:r>
        <w:t xml:space="preserve">The Class G airspace below the Southern CTA is used, predominantly at night, to give aircraft (the majority landing at Gatwick airport) direct routings (see </w:t>
      </w:r>
      <w:r w:rsidR="006E4E47">
        <w:fldChar w:fldCharType="begin"/>
      </w:r>
      <w:r w:rsidR="006E4E47" w:rsidRPr="006E4E47">
        <w:instrText xml:space="preserve"> REF _Ref486341478 \h </w:instrText>
      </w:r>
      <w:r w:rsidR="006E4E47">
        <w:instrText xml:space="preserve"> \* MERGEFORMAT </w:instrText>
      </w:r>
      <w:r w:rsidR="006E4E47">
        <w:fldChar w:fldCharType="separate"/>
      </w:r>
      <w:r w:rsidR="00EC7985" w:rsidRPr="00EC7985">
        <w:t>Figure</w:t>
      </w:r>
      <w:r w:rsidR="00EC7985" w:rsidRPr="00A03011">
        <w:rPr>
          <w:sz w:val="20"/>
        </w:rPr>
        <w:t xml:space="preserve"> </w:t>
      </w:r>
      <w:r w:rsidR="00EC7985" w:rsidRPr="00EC7985">
        <w:rPr>
          <w:noProof/>
        </w:rPr>
        <w:t>4</w:t>
      </w:r>
      <w:r w:rsidR="006E4E47">
        <w:fldChar w:fldCharType="end"/>
      </w:r>
      <w:r>
        <w:t xml:space="preserve">).  </w:t>
      </w:r>
    </w:p>
    <w:p w:rsidR="00A03011" w:rsidRDefault="00A03011" w:rsidP="00A03011">
      <w:r>
        <w:t xml:space="preserve">206 aircraft were plotted during the period of analysis (6 months, August 2016 to January 2017).  With no 7000 or 1177 squawks present it is assumed that all aircraft are most likely to be flying under IFR rules, receiving a service from London Area Control (LAC, </w:t>
      </w:r>
      <w:proofErr w:type="spellStart"/>
      <w:r>
        <w:t>Swanwick</w:t>
      </w:r>
      <w:proofErr w:type="spellEnd"/>
      <w:r>
        <w:t>) and transiting the airspace following clearance from the military.</w:t>
      </w:r>
    </w:p>
    <w:p w:rsidR="00A03011" w:rsidRDefault="00A03011" w:rsidP="00A03011">
      <w:pPr>
        <w:keepNext/>
        <w:spacing w:after="120"/>
        <w:jc w:val="center"/>
      </w:pPr>
      <w:r w:rsidRPr="00163ACE">
        <w:rPr>
          <w:noProof/>
          <w:lang w:eastAsia="en-GB"/>
        </w:rPr>
        <w:lastRenderedPageBreak/>
        <w:drawing>
          <wp:inline distT="0" distB="0" distL="0" distR="0" wp14:anchorId="44130237" wp14:editId="34C893E5">
            <wp:extent cx="4873037" cy="3000375"/>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881404" cy="3005527"/>
                    </a:xfrm>
                    <a:prstGeom prst="rect">
                      <a:avLst/>
                    </a:prstGeom>
                  </pic:spPr>
                </pic:pic>
              </a:graphicData>
            </a:graphic>
          </wp:inline>
        </w:drawing>
      </w:r>
    </w:p>
    <w:p w:rsidR="00A03011" w:rsidRDefault="00A03011" w:rsidP="00A03011">
      <w:pPr>
        <w:pStyle w:val="Caption"/>
        <w:jc w:val="center"/>
        <w:rPr>
          <w:sz w:val="20"/>
        </w:rPr>
      </w:pPr>
      <w:bookmarkStart w:id="11" w:name="_Ref486341478"/>
      <w:r w:rsidRPr="00A03011">
        <w:rPr>
          <w:sz w:val="20"/>
        </w:rPr>
        <w:t xml:space="preserve">Figure </w:t>
      </w:r>
      <w:r w:rsidRPr="00A03011">
        <w:rPr>
          <w:sz w:val="20"/>
        </w:rPr>
        <w:fldChar w:fldCharType="begin"/>
      </w:r>
      <w:r w:rsidRPr="00A03011">
        <w:rPr>
          <w:sz w:val="20"/>
        </w:rPr>
        <w:instrText xml:space="preserve"> SEQ Figure \* ARABIC </w:instrText>
      </w:r>
      <w:r w:rsidRPr="00A03011">
        <w:rPr>
          <w:sz w:val="20"/>
        </w:rPr>
        <w:fldChar w:fldCharType="separate"/>
      </w:r>
      <w:r w:rsidR="00EC7985">
        <w:rPr>
          <w:noProof/>
          <w:sz w:val="20"/>
        </w:rPr>
        <w:t>4</w:t>
      </w:r>
      <w:r w:rsidRPr="00A03011">
        <w:rPr>
          <w:sz w:val="20"/>
        </w:rPr>
        <w:fldChar w:fldCharType="end"/>
      </w:r>
      <w:bookmarkEnd w:id="11"/>
      <w:r w:rsidRPr="00A03011">
        <w:rPr>
          <w:sz w:val="20"/>
        </w:rPr>
        <w:t>: Radar plot of aircraft tracks FL125 to FL195 below the Southern CTA</w:t>
      </w:r>
    </w:p>
    <w:p w:rsidR="00426767" w:rsidRDefault="00426767" w:rsidP="00426767">
      <w:pPr>
        <w:pStyle w:val="Heading1Numbered"/>
        <w:framePr w:wrap="around"/>
      </w:pPr>
      <w:bookmarkStart w:id="12" w:name="_Toc486405372"/>
      <w:r>
        <w:lastRenderedPageBreak/>
        <w:t>Proposed Airspace Change and Operation</w:t>
      </w:r>
      <w:bookmarkEnd w:id="12"/>
    </w:p>
    <w:p w:rsidR="00426767" w:rsidRDefault="00426767" w:rsidP="00426767">
      <w:r>
        <w:t xml:space="preserve">This proposal would see the introduction of Class C Controlled Airspace from FL125 to FL195 in a volume below a portion of the Southern CTA as illustrated in </w:t>
      </w:r>
      <w:r w:rsidR="006E4E47">
        <w:fldChar w:fldCharType="begin"/>
      </w:r>
      <w:r w:rsidR="006E4E47" w:rsidRPr="006E4E47">
        <w:instrText xml:space="preserve"> REF _Ref486341404 \h </w:instrText>
      </w:r>
      <w:r w:rsidR="006E4E47">
        <w:instrText xml:space="preserve"> \* MERGEFORMAT </w:instrText>
      </w:r>
      <w:r w:rsidR="006E4E47">
        <w:fldChar w:fldCharType="separate"/>
      </w:r>
      <w:r w:rsidR="00EC7985" w:rsidRPr="00EC7985">
        <w:t>Figure</w:t>
      </w:r>
      <w:r w:rsidR="00EC7985" w:rsidRPr="00A03011">
        <w:rPr>
          <w:sz w:val="20"/>
        </w:rPr>
        <w:t xml:space="preserve"> </w:t>
      </w:r>
      <w:r w:rsidR="00EC7985" w:rsidRPr="00EC7985">
        <w:rPr>
          <w:noProof/>
        </w:rPr>
        <w:t>3</w:t>
      </w:r>
      <w:r w:rsidR="006E4E47">
        <w:fldChar w:fldCharType="end"/>
      </w:r>
      <w:r>
        <w:t>.  CDR (U</w:t>
      </w:r>
      <w:proofErr w:type="gramStart"/>
      <w:r>
        <w:t>)M185</w:t>
      </w:r>
      <w:proofErr w:type="gramEnd"/>
      <w:r>
        <w:t xml:space="preserve"> (also illustrated </w:t>
      </w:r>
      <w:r w:rsidR="006E4E47">
        <w:fldChar w:fldCharType="begin"/>
      </w:r>
      <w:r w:rsidR="006E4E47" w:rsidRPr="006E4E47">
        <w:instrText xml:space="preserve"> REF _Ref486341404 \h </w:instrText>
      </w:r>
      <w:r w:rsidR="006E4E47">
        <w:instrText xml:space="preserve"> \* MERGEFORMAT </w:instrText>
      </w:r>
      <w:r w:rsidR="006E4E47">
        <w:fldChar w:fldCharType="separate"/>
      </w:r>
      <w:r w:rsidR="00EC7985" w:rsidRPr="00EC7985">
        <w:t>Figure</w:t>
      </w:r>
      <w:r w:rsidR="00EC7985" w:rsidRPr="00A03011">
        <w:rPr>
          <w:sz w:val="20"/>
        </w:rPr>
        <w:t xml:space="preserve"> </w:t>
      </w:r>
      <w:r w:rsidR="00EC7985" w:rsidRPr="00EC7985">
        <w:rPr>
          <w:noProof/>
        </w:rPr>
        <w:t>3</w:t>
      </w:r>
      <w:r w:rsidR="006E4E47">
        <w:fldChar w:fldCharType="end"/>
      </w:r>
      <w:r>
        <w:t>) will benefit from the introduction of this change.  However, if the CDR is not approved by the CAA there are still substantial benefits to be gained.  The benefits and whether they are dependent upon the introduction of CDR (U</w:t>
      </w:r>
      <w:proofErr w:type="gramStart"/>
      <w:r>
        <w:t>)M185</w:t>
      </w:r>
      <w:proofErr w:type="gramEnd"/>
      <w:r>
        <w:t xml:space="preserve"> or not, are listed in the section of this document titled, Justification for Change.</w:t>
      </w:r>
    </w:p>
    <w:p w:rsidR="00426767" w:rsidRDefault="00426767" w:rsidP="00426767">
      <w:r>
        <w:t xml:space="preserve">The proposed volume of airspace would be available when the military are not operating in the DAs illustrated in </w:t>
      </w:r>
      <w:r w:rsidR="006E4E47">
        <w:fldChar w:fldCharType="begin"/>
      </w:r>
      <w:r w:rsidR="006E4E47" w:rsidRPr="006E4E47">
        <w:instrText xml:space="preserve"> REF _Ref486341358 \h </w:instrText>
      </w:r>
      <w:r w:rsidR="006E4E47">
        <w:instrText xml:space="preserve"> \* MERGEFORMAT </w:instrText>
      </w:r>
      <w:r w:rsidR="006E4E47">
        <w:fldChar w:fldCharType="separate"/>
      </w:r>
      <w:r w:rsidR="00EC7985" w:rsidRPr="00EC7985">
        <w:t>Figure</w:t>
      </w:r>
      <w:r w:rsidR="00EC7985" w:rsidRPr="00C90C84">
        <w:rPr>
          <w:sz w:val="20"/>
        </w:rPr>
        <w:t xml:space="preserve"> </w:t>
      </w:r>
      <w:r w:rsidR="00EC7985" w:rsidRPr="00EC7985">
        <w:rPr>
          <w:noProof/>
        </w:rPr>
        <w:t>2</w:t>
      </w:r>
      <w:r w:rsidR="006E4E47">
        <w:fldChar w:fldCharType="end"/>
      </w:r>
      <w:r>
        <w:t>.  It is estimated that this would make the airspace available for an average of 92% of each month.  This however is an average and utilisation by month varies considerably and past usage does not necessarily indicate future utilisation.</w:t>
      </w:r>
    </w:p>
    <w:p w:rsidR="00426767" w:rsidRDefault="00426767" w:rsidP="00426767">
      <w:r>
        <w:t>Traffic on (U</w:t>
      </w:r>
      <w:proofErr w:type="gramStart"/>
      <w:r>
        <w:t>)M185</w:t>
      </w:r>
      <w:proofErr w:type="gramEnd"/>
      <w:r>
        <w:t xml:space="preserve"> inbound to Luton and Stansted airports could be descended earlier than is the case today.  This should improve the descent profile of inbound aircraft, reduce the number of radio transmissions required thus reducing workload and minimise the risk of an aircraft entering the following sector higher than the agreed level.  </w:t>
      </w:r>
    </w:p>
    <w:p w:rsidR="00426767" w:rsidRDefault="00426767" w:rsidP="00426767">
      <w:r>
        <w:t>A new point ADLOG included in the proposal for the introduction of (U</w:t>
      </w:r>
      <w:proofErr w:type="gramStart"/>
      <w:r>
        <w:t>)M185</w:t>
      </w:r>
      <w:proofErr w:type="gramEnd"/>
      <w:r>
        <w:t xml:space="preserve"> (Green race track pattern, </w:t>
      </w:r>
      <w:r w:rsidR="006E4E47">
        <w:fldChar w:fldCharType="begin"/>
      </w:r>
      <w:r w:rsidR="006E4E47" w:rsidRPr="006E4E47">
        <w:instrText xml:space="preserve"> REF _Ref486341560 \h </w:instrText>
      </w:r>
      <w:r w:rsidR="006E4E47">
        <w:instrText xml:space="preserve"> \* MERGEFORMAT </w:instrText>
      </w:r>
      <w:r w:rsidR="006E4E47">
        <w:fldChar w:fldCharType="separate"/>
      </w:r>
      <w:r w:rsidR="00EC7985" w:rsidRPr="00EC7985">
        <w:t>Figure</w:t>
      </w:r>
      <w:r w:rsidR="00EC7985" w:rsidRPr="00426767">
        <w:rPr>
          <w:sz w:val="20"/>
        </w:rPr>
        <w:t xml:space="preserve"> </w:t>
      </w:r>
      <w:r w:rsidR="00EC7985" w:rsidRPr="00EC7985">
        <w:rPr>
          <w:noProof/>
        </w:rPr>
        <w:t>5</w:t>
      </w:r>
      <w:r w:rsidR="006E4E47">
        <w:fldChar w:fldCharType="end"/>
      </w:r>
      <w:r>
        <w:t>) would be used as an en-route hold for aircraft inbound to Luton and Stansted airports.  This would relieve pressure on the LOREL hold in instances where demand is high or the flow of traffic to these airports from the hold is disrupted (for example in cases of runway closure).</w:t>
      </w:r>
    </w:p>
    <w:p w:rsidR="00426767" w:rsidRDefault="00426767" w:rsidP="00426767">
      <w:pPr>
        <w:keepNext/>
        <w:spacing w:after="120"/>
        <w:jc w:val="center"/>
      </w:pPr>
      <w:r w:rsidRPr="00B012E8">
        <w:rPr>
          <w:noProof/>
          <w:lang w:eastAsia="en-GB"/>
        </w:rPr>
        <w:drawing>
          <wp:inline distT="0" distB="0" distL="0" distR="0" wp14:anchorId="10D10FF2" wp14:editId="7D45913C">
            <wp:extent cx="4775001" cy="3705225"/>
            <wp:effectExtent l="19050" t="19050" r="2603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6903" b="28632"/>
                    <a:stretch/>
                  </pic:blipFill>
                  <pic:spPr bwMode="auto">
                    <a:xfrm>
                      <a:off x="0" y="0"/>
                      <a:ext cx="4775001" cy="3705225"/>
                    </a:xfrm>
                    <a:prstGeom prst="rect">
                      <a:avLst/>
                    </a:prstGeom>
                    <a:noFill/>
                    <a:ln w="9525">
                      <a:solidFill>
                        <a:schemeClr val="tx1"/>
                      </a:solidFill>
                      <a:miter lim="800000"/>
                      <a:headEnd/>
                      <a:tailEnd/>
                    </a:ln>
                    <a:effectLst/>
                    <a:extLst/>
                  </pic:spPr>
                </pic:pic>
              </a:graphicData>
            </a:graphic>
          </wp:inline>
        </w:drawing>
      </w:r>
    </w:p>
    <w:p w:rsidR="00426767" w:rsidRDefault="00426767" w:rsidP="00426767">
      <w:pPr>
        <w:pStyle w:val="Caption"/>
        <w:jc w:val="center"/>
        <w:rPr>
          <w:sz w:val="20"/>
        </w:rPr>
      </w:pPr>
      <w:bookmarkStart w:id="13" w:name="_Ref486341560"/>
      <w:r w:rsidRPr="00426767">
        <w:rPr>
          <w:sz w:val="20"/>
        </w:rPr>
        <w:t xml:space="preserve">Figure </w:t>
      </w:r>
      <w:r w:rsidRPr="00426767">
        <w:rPr>
          <w:sz w:val="20"/>
        </w:rPr>
        <w:fldChar w:fldCharType="begin"/>
      </w:r>
      <w:r w:rsidRPr="00426767">
        <w:rPr>
          <w:sz w:val="20"/>
        </w:rPr>
        <w:instrText xml:space="preserve"> SEQ Figure \* ARABIC </w:instrText>
      </w:r>
      <w:r w:rsidRPr="00426767">
        <w:rPr>
          <w:sz w:val="20"/>
        </w:rPr>
        <w:fldChar w:fldCharType="separate"/>
      </w:r>
      <w:r w:rsidR="00EC7985">
        <w:rPr>
          <w:noProof/>
          <w:sz w:val="20"/>
        </w:rPr>
        <w:t>5</w:t>
      </w:r>
      <w:r w:rsidRPr="00426767">
        <w:rPr>
          <w:sz w:val="20"/>
        </w:rPr>
        <w:fldChar w:fldCharType="end"/>
      </w:r>
      <w:bookmarkEnd w:id="13"/>
      <w:r w:rsidRPr="00426767">
        <w:rPr>
          <w:sz w:val="20"/>
        </w:rPr>
        <w:t>: CDR (U</w:t>
      </w:r>
      <w:proofErr w:type="gramStart"/>
      <w:r w:rsidRPr="00426767">
        <w:rPr>
          <w:sz w:val="20"/>
        </w:rPr>
        <w:t>)M185</w:t>
      </w:r>
      <w:proofErr w:type="gramEnd"/>
      <w:r w:rsidRPr="00426767">
        <w:rPr>
          <w:sz w:val="20"/>
        </w:rPr>
        <w:t xml:space="preserve">, new point ADLOG &amp; proposed </w:t>
      </w:r>
      <w:proofErr w:type="spellStart"/>
      <w:r w:rsidRPr="00426767">
        <w:rPr>
          <w:sz w:val="20"/>
        </w:rPr>
        <w:t>enroute</w:t>
      </w:r>
      <w:proofErr w:type="spellEnd"/>
      <w:r w:rsidRPr="00426767">
        <w:rPr>
          <w:sz w:val="20"/>
        </w:rPr>
        <w:t xml:space="preserve"> hold</w:t>
      </w:r>
    </w:p>
    <w:p w:rsidR="00426767" w:rsidRDefault="00426767" w:rsidP="00426767">
      <w:r>
        <w:lastRenderedPageBreak/>
        <w:t xml:space="preserve">The new controlled airspace will have permanent “on route status” subject to approval by the military, allowing the airspace to be used tactically by civil ATC whenever it is available.  This will allow the class C airspace to be available for IFR flights for direct routes to and from the Channel Islands, Brest FIR and airfields in the South East of the UK.  This in turn will keep aircraft over water for longer and away from the complexity of the LTMA airspace.  </w:t>
      </w:r>
    </w:p>
    <w:p w:rsidR="00426767" w:rsidRDefault="00426767" w:rsidP="00426767">
      <w:r>
        <w:t xml:space="preserve">The proposal would introduce a uniform lower level of FL125 in the area of the Portsmouth and Southern CTAs (Blue and Black bordered volumes illustrated in </w:t>
      </w:r>
      <w:r w:rsidR="006E4E47">
        <w:fldChar w:fldCharType="begin"/>
      </w:r>
      <w:r w:rsidR="006E4E47" w:rsidRPr="006E4E47">
        <w:instrText xml:space="preserve"> REF _Ref486341560 \h </w:instrText>
      </w:r>
      <w:r w:rsidR="006E4E47">
        <w:instrText xml:space="preserve"> \* MERGEFORMAT </w:instrText>
      </w:r>
      <w:r w:rsidR="006E4E47">
        <w:fldChar w:fldCharType="separate"/>
      </w:r>
      <w:r w:rsidR="00EC7985" w:rsidRPr="00EC7985">
        <w:t>Figure</w:t>
      </w:r>
      <w:r w:rsidR="00EC7985" w:rsidRPr="00426767">
        <w:rPr>
          <w:sz w:val="20"/>
        </w:rPr>
        <w:t xml:space="preserve"> </w:t>
      </w:r>
      <w:r w:rsidR="00EC7985" w:rsidRPr="00EC7985">
        <w:rPr>
          <w:noProof/>
        </w:rPr>
        <w:t>5</w:t>
      </w:r>
      <w:r w:rsidR="006E4E47">
        <w:fldChar w:fldCharType="end"/>
      </w:r>
      <w:r>
        <w:t xml:space="preserve">) as well as a uniform airspace classification of Class C. </w:t>
      </w:r>
    </w:p>
    <w:p w:rsidR="00426767" w:rsidRDefault="00426767" w:rsidP="00426767">
      <w:r>
        <w:t xml:space="preserve">In the short term aircraft will be given direct routes to and from The Channel Islands CTA, the Brest FIR and airfields in the south east of the UK, to reduce track mileage.  In the longer term further CDRs may be introduced (subject to CAA approval) to replicate these direct tracks, no lower than FL125.  </w:t>
      </w:r>
      <w:r w:rsidR="00844AF2" w:rsidRPr="00844AF2">
        <w:rPr>
          <w:szCs w:val="22"/>
        </w:rPr>
        <w:fldChar w:fldCharType="begin"/>
      </w:r>
      <w:r w:rsidR="00844AF2" w:rsidRPr="00844AF2">
        <w:rPr>
          <w:szCs w:val="22"/>
        </w:rPr>
        <w:instrText xml:space="preserve"> REF _Ref486342295 \h  \* MERGEFORMAT </w:instrText>
      </w:r>
      <w:r w:rsidR="00844AF2" w:rsidRPr="00844AF2">
        <w:rPr>
          <w:szCs w:val="22"/>
        </w:rPr>
      </w:r>
      <w:r w:rsidR="00844AF2" w:rsidRPr="00844AF2">
        <w:rPr>
          <w:szCs w:val="22"/>
        </w:rPr>
        <w:fldChar w:fldCharType="separate"/>
      </w:r>
      <w:r w:rsidR="00EC7985" w:rsidRPr="00EC7985">
        <w:rPr>
          <w:szCs w:val="22"/>
        </w:rPr>
        <w:t xml:space="preserve">Figure </w:t>
      </w:r>
      <w:r w:rsidR="00EC7985" w:rsidRPr="00EC7985">
        <w:rPr>
          <w:noProof/>
          <w:szCs w:val="22"/>
        </w:rPr>
        <w:t>6</w:t>
      </w:r>
      <w:r w:rsidR="00844AF2" w:rsidRPr="00844AF2">
        <w:rPr>
          <w:szCs w:val="22"/>
        </w:rPr>
        <w:fldChar w:fldCharType="end"/>
      </w:r>
      <w:r>
        <w:t xml:space="preserve"> illustrates a number of potential direct routings across the CTA and the routes which must currently be flight planned or which are flown in instances where the military DAs are active.</w:t>
      </w:r>
    </w:p>
    <w:p w:rsidR="00426767" w:rsidRDefault="00426767" w:rsidP="00426767">
      <w:r>
        <w:t>These direct routes would be the same as they are today but are likely to increase in frequency as carriers would benefit from the additional protection of CAS.  The U designator for the upper air route is to be included for this CDR to enable the airspace to be segregated in vertical as well as lateral dimensions.  The lower part of the routes can be made unavailable for flight planning when military activity is promulgated subject to the upper level limit being used in the DA).</w:t>
      </w:r>
    </w:p>
    <w:p w:rsidR="00426767" w:rsidRDefault="00426767" w:rsidP="00426767">
      <w:pPr>
        <w:keepNext/>
        <w:spacing w:after="120"/>
        <w:jc w:val="center"/>
      </w:pPr>
      <w:r w:rsidRPr="002C6575">
        <w:rPr>
          <w:noProof/>
          <w:lang w:eastAsia="en-GB"/>
        </w:rPr>
        <w:drawing>
          <wp:inline distT="0" distB="0" distL="0" distR="0" wp14:anchorId="6D4A1FBE" wp14:editId="4FB0B329">
            <wp:extent cx="4468007" cy="3985404"/>
            <wp:effectExtent l="0" t="0" r="8890" b="0"/>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8007" cy="3985404"/>
                    </a:xfrm>
                    <a:prstGeom prst="rect">
                      <a:avLst/>
                    </a:prstGeom>
                    <a:noFill/>
                    <a:ln>
                      <a:noFill/>
                    </a:ln>
                    <a:effectLst/>
                    <a:extLst/>
                  </pic:spPr>
                </pic:pic>
              </a:graphicData>
            </a:graphic>
          </wp:inline>
        </w:drawing>
      </w:r>
    </w:p>
    <w:p w:rsidR="00426767" w:rsidRDefault="00426767" w:rsidP="00426767">
      <w:pPr>
        <w:pStyle w:val="Caption"/>
        <w:jc w:val="center"/>
        <w:rPr>
          <w:sz w:val="20"/>
        </w:rPr>
      </w:pPr>
      <w:bookmarkStart w:id="14" w:name="_Ref486342295"/>
      <w:r w:rsidRPr="00426767">
        <w:rPr>
          <w:sz w:val="20"/>
        </w:rPr>
        <w:t xml:space="preserve">Figure </w:t>
      </w:r>
      <w:r w:rsidRPr="00426767">
        <w:rPr>
          <w:sz w:val="20"/>
        </w:rPr>
        <w:fldChar w:fldCharType="begin"/>
      </w:r>
      <w:r w:rsidRPr="00426767">
        <w:rPr>
          <w:sz w:val="20"/>
        </w:rPr>
        <w:instrText xml:space="preserve"> SEQ Figure \* ARABIC </w:instrText>
      </w:r>
      <w:r w:rsidRPr="00426767">
        <w:rPr>
          <w:sz w:val="20"/>
        </w:rPr>
        <w:fldChar w:fldCharType="separate"/>
      </w:r>
      <w:r w:rsidR="00EC7985">
        <w:rPr>
          <w:noProof/>
          <w:sz w:val="20"/>
        </w:rPr>
        <w:t>6</w:t>
      </w:r>
      <w:r w:rsidRPr="00426767">
        <w:rPr>
          <w:sz w:val="20"/>
        </w:rPr>
        <w:fldChar w:fldCharType="end"/>
      </w:r>
      <w:bookmarkEnd w:id="14"/>
      <w:r w:rsidRPr="00426767">
        <w:rPr>
          <w:sz w:val="20"/>
        </w:rPr>
        <w:t>: Flight planned &amp; direct routings</w:t>
      </w:r>
    </w:p>
    <w:p w:rsidR="00426767" w:rsidRDefault="00426767" w:rsidP="00426767">
      <w:pPr>
        <w:pStyle w:val="Heading1Numbered"/>
        <w:framePr w:wrap="around"/>
      </w:pPr>
      <w:bookmarkStart w:id="15" w:name="_Ref486344205"/>
      <w:bookmarkStart w:id="16" w:name="_Ref486344235"/>
      <w:bookmarkStart w:id="17" w:name="_Toc486405373"/>
      <w:proofErr w:type="spellStart"/>
      <w:r>
        <w:lastRenderedPageBreak/>
        <w:t>Justifiaction</w:t>
      </w:r>
      <w:proofErr w:type="spellEnd"/>
      <w:r>
        <w:t xml:space="preserve"> for Change</w:t>
      </w:r>
      <w:bookmarkEnd w:id="15"/>
      <w:bookmarkEnd w:id="16"/>
      <w:bookmarkEnd w:id="17"/>
    </w:p>
    <w:p w:rsidR="00426767" w:rsidRDefault="00426767" w:rsidP="00426767">
      <w:r>
        <w:t>This change is predicated on the following:</w:t>
      </w:r>
    </w:p>
    <w:p w:rsidR="00426767" w:rsidRDefault="00426767" w:rsidP="00426767">
      <w:r w:rsidRPr="00426767">
        <w:rPr>
          <w:u w:val="single"/>
        </w:rPr>
        <w:t>CDR enhancement</w:t>
      </w:r>
      <w:r>
        <w:t xml:space="preserve"> (assuming CDR (U</w:t>
      </w:r>
      <w:proofErr w:type="gramStart"/>
      <w:r>
        <w:t>)M185</w:t>
      </w:r>
      <w:proofErr w:type="gramEnd"/>
      <w:r>
        <w:t xml:space="preserve"> is approved)</w:t>
      </w:r>
    </w:p>
    <w:p w:rsidR="00426767" w:rsidRDefault="00426767" w:rsidP="00426767">
      <w:pPr>
        <w:pStyle w:val="ListParagraph"/>
        <w:numPr>
          <w:ilvl w:val="0"/>
          <w:numId w:val="48"/>
        </w:numPr>
      </w:pPr>
      <w:r>
        <w:t>Improved descent profiles for CDR (U)M185</w:t>
      </w:r>
    </w:p>
    <w:p w:rsidR="00426767" w:rsidRDefault="00426767" w:rsidP="00426767">
      <w:pPr>
        <w:pStyle w:val="ListParagraph"/>
        <w:numPr>
          <w:ilvl w:val="0"/>
          <w:numId w:val="48"/>
        </w:numPr>
      </w:pPr>
      <w:r>
        <w:t>Reduced radio transmissions for traffic in the descent on (U)M185</w:t>
      </w:r>
    </w:p>
    <w:p w:rsidR="00426767" w:rsidRDefault="00426767" w:rsidP="00426767">
      <w:pPr>
        <w:pStyle w:val="ListParagraph"/>
        <w:numPr>
          <w:ilvl w:val="0"/>
          <w:numId w:val="48"/>
        </w:numPr>
      </w:pPr>
      <w:r>
        <w:t xml:space="preserve">Reduce the risk of agreed next sector level being missed </w:t>
      </w:r>
    </w:p>
    <w:p w:rsidR="00426767" w:rsidRDefault="00426767" w:rsidP="00426767">
      <w:pPr>
        <w:pStyle w:val="ListParagraph"/>
        <w:numPr>
          <w:ilvl w:val="0"/>
          <w:numId w:val="48"/>
        </w:numPr>
      </w:pPr>
      <w:r>
        <w:t xml:space="preserve">Establish an </w:t>
      </w:r>
      <w:proofErr w:type="spellStart"/>
      <w:r>
        <w:t>enroute</w:t>
      </w:r>
      <w:proofErr w:type="spellEnd"/>
      <w:r>
        <w:t xml:space="preserve"> hold for LOREL inbounds on (U)M185</w:t>
      </w:r>
    </w:p>
    <w:p w:rsidR="00426767" w:rsidRDefault="00426767" w:rsidP="00426767"/>
    <w:p w:rsidR="00426767" w:rsidRDefault="00426767" w:rsidP="00426767">
      <w:r w:rsidRPr="00426767">
        <w:rPr>
          <w:u w:val="single"/>
        </w:rPr>
        <w:t>Non-CDR based benefits</w:t>
      </w:r>
      <w:r>
        <w:t xml:space="preserve"> (if CDR (U</w:t>
      </w:r>
      <w:proofErr w:type="gramStart"/>
      <w:r>
        <w:t>)M185</w:t>
      </w:r>
      <w:proofErr w:type="gramEnd"/>
      <w:r>
        <w:t xml:space="preserve"> is not approved)</w:t>
      </w:r>
    </w:p>
    <w:p w:rsidR="00426767" w:rsidRDefault="00426767" w:rsidP="00426767">
      <w:pPr>
        <w:pStyle w:val="ListParagraph"/>
        <w:numPr>
          <w:ilvl w:val="0"/>
          <w:numId w:val="48"/>
        </w:numPr>
      </w:pPr>
      <w:r>
        <w:t>Enable direct tracks to and from the Channel Islands CTA, the Brest FIR and airports in the south east of the UK through CAS, reducing fuel burn and emissions</w:t>
      </w:r>
    </w:p>
    <w:p w:rsidR="00426767" w:rsidRDefault="00426767" w:rsidP="00426767">
      <w:pPr>
        <w:pStyle w:val="ListParagraph"/>
        <w:numPr>
          <w:ilvl w:val="0"/>
          <w:numId w:val="48"/>
        </w:numPr>
      </w:pPr>
      <w:r>
        <w:t>Enable future CDRs to allow direct routes to be flight planned when the military DAs are inactive</w:t>
      </w:r>
    </w:p>
    <w:p w:rsidR="00426767" w:rsidRDefault="00426767" w:rsidP="00426767">
      <w:pPr>
        <w:pStyle w:val="ListParagraph"/>
        <w:numPr>
          <w:ilvl w:val="0"/>
          <w:numId w:val="48"/>
        </w:numPr>
      </w:pPr>
      <w:r>
        <w:t xml:space="preserve">Give a uniform airspace classification of Class C to the area detailed in </w:t>
      </w:r>
      <w:r w:rsidR="006E4E47">
        <w:fldChar w:fldCharType="begin"/>
      </w:r>
      <w:r w:rsidR="006E4E47" w:rsidRPr="006E4E47">
        <w:instrText xml:space="preserve"> REF _Ref486341255 \h </w:instrText>
      </w:r>
      <w:r w:rsidR="006E4E47">
        <w:instrText xml:space="preserve"> \* MERGEFORMAT </w:instrText>
      </w:r>
      <w:r w:rsidR="006E4E47">
        <w:fldChar w:fldCharType="separate"/>
      </w:r>
      <w:r w:rsidR="00EC7985" w:rsidRPr="00EC7985">
        <w:t>Figure</w:t>
      </w:r>
      <w:r w:rsidR="00EC7985" w:rsidRPr="00C90C84">
        <w:rPr>
          <w:sz w:val="20"/>
        </w:rPr>
        <w:t xml:space="preserve"> </w:t>
      </w:r>
      <w:r w:rsidR="00EC7985" w:rsidRPr="00EC7985">
        <w:rPr>
          <w:noProof/>
        </w:rPr>
        <w:t>1</w:t>
      </w:r>
      <w:r w:rsidR="006E4E47">
        <w:fldChar w:fldCharType="end"/>
      </w:r>
    </w:p>
    <w:p w:rsidR="00426767" w:rsidRDefault="00426767" w:rsidP="00426767">
      <w:pPr>
        <w:pStyle w:val="ListParagraph"/>
        <w:numPr>
          <w:ilvl w:val="0"/>
          <w:numId w:val="48"/>
        </w:numPr>
      </w:pPr>
      <w:r>
        <w:t xml:space="preserve">Give a uniform base to CAS detailed in </w:t>
      </w:r>
      <w:r w:rsidR="006E4E47">
        <w:fldChar w:fldCharType="begin"/>
      </w:r>
      <w:r w:rsidR="006E4E47" w:rsidRPr="006E4E47">
        <w:instrText xml:space="preserve"> REF _Ref486341255 \h </w:instrText>
      </w:r>
      <w:r w:rsidR="006E4E47">
        <w:instrText xml:space="preserve"> \* MERGEFORMAT </w:instrText>
      </w:r>
      <w:r w:rsidR="006E4E47">
        <w:fldChar w:fldCharType="separate"/>
      </w:r>
      <w:r w:rsidR="00EC7985" w:rsidRPr="00EC7985">
        <w:t>Figure</w:t>
      </w:r>
      <w:r w:rsidR="00EC7985" w:rsidRPr="00C90C84">
        <w:rPr>
          <w:sz w:val="20"/>
        </w:rPr>
        <w:t xml:space="preserve"> </w:t>
      </w:r>
      <w:r w:rsidR="00EC7985" w:rsidRPr="00EC7985">
        <w:rPr>
          <w:noProof/>
        </w:rPr>
        <w:t>1</w:t>
      </w:r>
      <w:r w:rsidR="006E4E47">
        <w:fldChar w:fldCharType="end"/>
      </w:r>
      <w:r>
        <w:t>, of FL125+</w:t>
      </w:r>
    </w:p>
    <w:p w:rsidR="00426767" w:rsidRDefault="00426767" w:rsidP="00426767">
      <w:pPr>
        <w:pStyle w:val="ListParagraph"/>
        <w:numPr>
          <w:ilvl w:val="0"/>
          <w:numId w:val="48"/>
        </w:numPr>
      </w:pPr>
      <w:r>
        <w:t>Provide additional CAS for weather avoidance manoeuvres</w:t>
      </w:r>
    </w:p>
    <w:p w:rsidR="00426767" w:rsidRDefault="00426767" w:rsidP="00426767">
      <w:pPr>
        <w:pStyle w:val="ListParagraph"/>
        <w:numPr>
          <w:ilvl w:val="0"/>
          <w:numId w:val="48"/>
        </w:numPr>
      </w:pPr>
      <w:r>
        <w:t>Remove a cul-de-sac of Class G airspace which is currently surrounded by CAS</w:t>
      </w:r>
    </w:p>
    <w:p w:rsidR="00426767" w:rsidRDefault="00426767" w:rsidP="00426767">
      <w:pPr>
        <w:pStyle w:val="ListParagraph"/>
        <w:numPr>
          <w:ilvl w:val="0"/>
          <w:numId w:val="48"/>
        </w:numPr>
      </w:pPr>
      <w:r>
        <w:t>Retain the ability for VFR traffic to transit the area by keeping the lower level of CAS at FL125+</w:t>
      </w:r>
    </w:p>
    <w:p w:rsidR="00426767" w:rsidRDefault="00426767" w:rsidP="00426767">
      <w:r>
        <w:t>NATS considers that the second set of bullets deliver enough benefit to justify the change in the event that the (U</w:t>
      </w:r>
      <w:proofErr w:type="gramStart"/>
      <w:r>
        <w:t>)M185</w:t>
      </w:r>
      <w:proofErr w:type="gramEnd"/>
      <w:r>
        <w:t xml:space="preserve"> CDR is not approved by the CAA.  If it is approved then the benefit derived from all of the bullets will be realised.</w:t>
      </w:r>
    </w:p>
    <w:p w:rsidR="00426767" w:rsidRDefault="00426767" w:rsidP="00426767">
      <w:r>
        <w:t>The fuel and emissions savings from direct routings are likely to be considerable however this change is not predicated on a fuel saving metric due to the variability of tactical direct routings.  The Post Implementation Review will contain details of any savings which are realised.</w:t>
      </w:r>
    </w:p>
    <w:p w:rsidR="00426767" w:rsidRDefault="00426767" w:rsidP="00426767">
      <w:pPr>
        <w:pStyle w:val="Heading1Numbered"/>
        <w:framePr w:wrap="around"/>
      </w:pPr>
      <w:bookmarkStart w:id="18" w:name="_Toc486405374"/>
      <w:r>
        <w:lastRenderedPageBreak/>
        <w:t>Considered Options</w:t>
      </w:r>
      <w:bookmarkEnd w:id="18"/>
    </w:p>
    <w:p w:rsidR="00426767" w:rsidRDefault="00426767" w:rsidP="00426767">
      <w:r>
        <w:t>Four options were considered for this change.</w:t>
      </w:r>
    </w:p>
    <w:p w:rsidR="00426767" w:rsidRDefault="00426767" w:rsidP="00426767">
      <w:pPr>
        <w:ind w:firstLine="720"/>
      </w:pPr>
      <w:proofErr w:type="gramStart"/>
      <w:r>
        <w:t>5.1  Do</w:t>
      </w:r>
      <w:proofErr w:type="gramEnd"/>
      <w:r>
        <w:t xml:space="preserve"> nothing</w:t>
      </w:r>
    </w:p>
    <w:p w:rsidR="00426767" w:rsidRDefault="00426767" w:rsidP="00426767">
      <w:pPr>
        <w:ind w:firstLine="720"/>
      </w:pPr>
      <w:proofErr w:type="gramStart"/>
      <w:r>
        <w:t>5.2  Minimum</w:t>
      </w:r>
      <w:proofErr w:type="gramEnd"/>
      <w:r>
        <w:t xml:space="preserve"> CAS requirement</w:t>
      </w:r>
    </w:p>
    <w:p w:rsidR="00426767" w:rsidRDefault="00426767" w:rsidP="00426767">
      <w:pPr>
        <w:ind w:firstLine="720"/>
      </w:pPr>
      <w:proofErr w:type="gramStart"/>
      <w:r>
        <w:t>5.3  Maximum</w:t>
      </w:r>
      <w:proofErr w:type="gramEnd"/>
      <w:r>
        <w:t xml:space="preserve"> CAS requirement</w:t>
      </w:r>
    </w:p>
    <w:p w:rsidR="00426767" w:rsidRDefault="00426767" w:rsidP="00426767">
      <w:pPr>
        <w:ind w:left="1134" w:hanging="414"/>
      </w:pPr>
      <w:proofErr w:type="gramStart"/>
      <w:r>
        <w:t>5.4  Maximum</w:t>
      </w:r>
      <w:proofErr w:type="gramEnd"/>
      <w:r>
        <w:t xml:space="preserve"> CAS requirement and chang</w:t>
      </w:r>
      <w:r w:rsidR="006E4E47">
        <w:t xml:space="preserve">e adjacent Class A volume to </w:t>
      </w:r>
      <w:r>
        <w:t>Class C (the subject of this consultation paper)</w:t>
      </w:r>
    </w:p>
    <w:p w:rsidR="00426767" w:rsidRDefault="00426767" w:rsidP="00426767"/>
    <w:p w:rsidR="00426767" w:rsidRDefault="00426767" w:rsidP="00426767">
      <w:pPr>
        <w:pStyle w:val="Heading2Numbered"/>
      </w:pPr>
      <w:bookmarkStart w:id="19" w:name="_Toc486405375"/>
      <w:r>
        <w:t>Do Nothing (discounted)</w:t>
      </w:r>
      <w:bookmarkEnd w:id="19"/>
    </w:p>
    <w:p w:rsidR="00426767" w:rsidRDefault="00426767" w:rsidP="00426767">
      <w:r>
        <w:t>The ‘Do Nothing’ option was considered but would not deliver the benefits outlined in this paper,</w:t>
      </w:r>
      <w:r w:rsidR="00687ACA">
        <w:t xml:space="preserve"> </w:t>
      </w:r>
      <w:r w:rsidR="00687ACA">
        <w:fldChar w:fldCharType="begin"/>
      </w:r>
      <w:r w:rsidR="00687ACA">
        <w:instrText xml:space="preserve"> REF _Ref486344205 \r \h </w:instrText>
      </w:r>
      <w:r w:rsidR="00687ACA">
        <w:fldChar w:fldCharType="separate"/>
      </w:r>
      <w:r w:rsidR="00EC7985">
        <w:t>4</w:t>
      </w:r>
      <w:r w:rsidR="00687ACA">
        <w:fldChar w:fldCharType="end"/>
      </w:r>
      <w:r w:rsidR="00687ACA">
        <w:t xml:space="preserve"> </w:t>
      </w:r>
      <w:r w:rsidR="00687ACA">
        <w:fldChar w:fldCharType="begin"/>
      </w:r>
      <w:r w:rsidR="00687ACA">
        <w:instrText xml:space="preserve"> REF _Ref486344235 \h </w:instrText>
      </w:r>
      <w:r w:rsidR="00687ACA">
        <w:fldChar w:fldCharType="separate"/>
      </w:r>
      <w:proofErr w:type="spellStart"/>
      <w:r w:rsidR="00EC7985">
        <w:t>Justifiaction</w:t>
      </w:r>
      <w:proofErr w:type="spellEnd"/>
      <w:r w:rsidR="00EC7985">
        <w:t xml:space="preserve"> for Change</w:t>
      </w:r>
      <w:r w:rsidR="00687ACA">
        <w:fldChar w:fldCharType="end"/>
      </w:r>
      <w:r>
        <w:t>.</w:t>
      </w:r>
    </w:p>
    <w:p w:rsidR="00426767" w:rsidRDefault="00426767" w:rsidP="00426767">
      <w:r>
        <w:t>Assuming that the CDR is approved, doing nothing will mean that aircraft on that route will operate with a non-optimal descent profile, with more radio transmissions than could be the case if the airspace is altered and with the higher chance of entering the next sector at a higher level than standing agreement between the sectors.</w:t>
      </w:r>
    </w:p>
    <w:p w:rsidR="00426767" w:rsidRDefault="00426767" w:rsidP="00426767">
      <w:r>
        <w:t>Assuming the CDR is approved the opportunity to create an effective en-route hold to relieve pressure on the terminal sectors during periods of high demand for  Luton and Stansted inbounds would be limited to one at FL195+ instead of FL125+ (more useful levels).</w:t>
      </w:r>
    </w:p>
    <w:p w:rsidR="00426767" w:rsidRDefault="00426767" w:rsidP="00426767">
      <w:r>
        <w:t xml:space="preserve">The numbers of aircraft achieving a direct routing across the airspace will remain the same as today, consisting predominantly of those which can operate in Class G airspace and those at the higher levels of FL195+.  The lack of opportunity to descend will deliver a non-optimal profile for those taking the direct routing. </w:t>
      </w:r>
    </w:p>
    <w:p w:rsidR="00426767" w:rsidRDefault="00426767" w:rsidP="00426767">
      <w:r>
        <w:t>During weather avoidance aircraft can enter the airspace but below FL195 they must be willing to operate in Class G airspace.  This can prove restrictive at a very busy time.</w:t>
      </w:r>
    </w:p>
    <w:p w:rsidR="00426767" w:rsidRDefault="00426767" w:rsidP="00426767">
      <w:r>
        <w:t>The Class G airspace from FL125 to FL195 would remain a cul-de-sac enclosed on three sides by CAS.</w:t>
      </w:r>
    </w:p>
    <w:p w:rsidR="00426767" w:rsidRDefault="00426767" w:rsidP="00426767"/>
    <w:p w:rsidR="00426767" w:rsidRDefault="00426767" w:rsidP="00426767">
      <w:pPr>
        <w:pStyle w:val="Heading2Numbered"/>
      </w:pPr>
      <w:bookmarkStart w:id="20" w:name="_Toc486405376"/>
      <w:r>
        <w:lastRenderedPageBreak/>
        <w:t>Minimum CAS Requirement (discounted)</w:t>
      </w:r>
      <w:bookmarkEnd w:id="20"/>
    </w:p>
    <w:p w:rsidR="00426767" w:rsidRDefault="00426767" w:rsidP="00426767">
      <w:pPr>
        <w:keepNext/>
        <w:spacing w:after="120"/>
        <w:jc w:val="center"/>
      </w:pPr>
      <w:r w:rsidRPr="00786DDC">
        <w:rPr>
          <w:noProof/>
          <w:lang w:eastAsia="en-GB"/>
        </w:rPr>
        <w:drawing>
          <wp:inline distT="0" distB="0" distL="0" distR="0" wp14:anchorId="3B39DA34" wp14:editId="3574DAC7">
            <wp:extent cx="4679950" cy="4658550"/>
            <wp:effectExtent l="0" t="0" r="635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0" cy="4658550"/>
                    </a:xfrm>
                    <a:prstGeom prst="rect">
                      <a:avLst/>
                    </a:prstGeom>
                    <a:noFill/>
                    <a:ln>
                      <a:noFill/>
                    </a:ln>
                    <a:effectLst/>
                    <a:extLst/>
                  </pic:spPr>
                </pic:pic>
              </a:graphicData>
            </a:graphic>
          </wp:inline>
        </w:drawing>
      </w:r>
    </w:p>
    <w:p w:rsidR="00426767" w:rsidRDefault="00426767" w:rsidP="00426767">
      <w:pPr>
        <w:pStyle w:val="Caption"/>
        <w:jc w:val="center"/>
        <w:rPr>
          <w:sz w:val="20"/>
        </w:rPr>
      </w:pPr>
      <w:r w:rsidRPr="00426767">
        <w:rPr>
          <w:sz w:val="20"/>
        </w:rPr>
        <w:t xml:space="preserve">Figure </w:t>
      </w:r>
      <w:r w:rsidRPr="00426767">
        <w:rPr>
          <w:sz w:val="20"/>
        </w:rPr>
        <w:fldChar w:fldCharType="begin"/>
      </w:r>
      <w:r w:rsidRPr="00426767">
        <w:rPr>
          <w:sz w:val="20"/>
        </w:rPr>
        <w:instrText xml:space="preserve"> SEQ Figure \* ARABIC </w:instrText>
      </w:r>
      <w:r w:rsidRPr="00426767">
        <w:rPr>
          <w:sz w:val="20"/>
        </w:rPr>
        <w:fldChar w:fldCharType="separate"/>
      </w:r>
      <w:r w:rsidR="00EC7985">
        <w:rPr>
          <w:noProof/>
          <w:sz w:val="20"/>
        </w:rPr>
        <w:t>7</w:t>
      </w:r>
      <w:r w:rsidRPr="00426767">
        <w:rPr>
          <w:sz w:val="20"/>
        </w:rPr>
        <w:fldChar w:fldCharType="end"/>
      </w:r>
      <w:r w:rsidRPr="00426767">
        <w:rPr>
          <w:sz w:val="20"/>
        </w:rPr>
        <w:t>: Minimum CAS requirement</w:t>
      </w:r>
    </w:p>
    <w:p w:rsidR="00426767" w:rsidRDefault="00426767" w:rsidP="00426767">
      <w:r>
        <w:t>The minimum CAS requirement would enable traffic on (U</w:t>
      </w:r>
      <w:proofErr w:type="gramStart"/>
      <w:r>
        <w:t>)M185</w:t>
      </w:r>
      <w:proofErr w:type="gramEnd"/>
      <w:r>
        <w:t xml:space="preserve"> to descend to FL180 in anticipation of further descent once inside the current southern edge of the  Portsmouth CTA.  This would be useful to enable a more continuous descent but this would not be as optimised as could otherwise be possible.</w:t>
      </w:r>
    </w:p>
    <w:p w:rsidR="00426767" w:rsidRDefault="00426767" w:rsidP="00426767">
      <w:r>
        <w:t>It would require a minimum of CAS, FL175+.</w:t>
      </w:r>
    </w:p>
    <w:p w:rsidR="00426767" w:rsidRDefault="00426767" w:rsidP="00426767">
      <w:r>
        <w:t>It would not eliminate the current cul-de-sac and it would not create a common base level across the sections of the Portsmouth and Southern CTAs in question.  It would not enable increased numbers of aircraft to benefit from direct routings above those which receive them today and if the CDR (U</w:t>
      </w:r>
      <w:proofErr w:type="gramStart"/>
      <w:r>
        <w:t>)M185</w:t>
      </w:r>
      <w:proofErr w:type="gramEnd"/>
      <w:r>
        <w:t xml:space="preserve"> is not approved by the CAA this option would become redundant.</w:t>
      </w:r>
    </w:p>
    <w:p w:rsidR="006E4E47" w:rsidRDefault="00426767" w:rsidP="00426767">
      <w:r>
        <w:t>This option has been discounted as not delivering the maximum possible benefit and potentially delivering zero benefit if the CDR is not approved.</w:t>
      </w:r>
    </w:p>
    <w:p w:rsidR="006E4E47" w:rsidRDefault="006E4E47">
      <w:r>
        <w:br w:type="page"/>
      </w:r>
    </w:p>
    <w:p w:rsidR="006E4E47" w:rsidRDefault="006E4E47" w:rsidP="006E4E47">
      <w:pPr>
        <w:pStyle w:val="Heading2Numbered"/>
      </w:pPr>
      <w:bookmarkStart w:id="21" w:name="_Toc486405377"/>
      <w:r>
        <w:lastRenderedPageBreak/>
        <w:t xml:space="preserve">Maximum CAS </w:t>
      </w:r>
      <w:proofErr w:type="spellStart"/>
      <w:r>
        <w:t>Requirment</w:t>
      </w:r>
      <w:proofErr w:type="spellEnd"/>
      <w:r>
        <w:t xml:space="preserve"> (discounted, subject modification)</w:t>
      </w:r>
      <w:bookmarkEnd w:id="21"/>
    </w:p>
    <w:p w:rsidR="006E4E47" w:rsidRDefault="006E4E47" w:rsidP="006E4E47">
      <w:pPr>
        <w:keepNext/>
        <w:spacing w:after="120"/>
        <w:jc w:val="center"/>
      </w:pPr>
      <w:r w:rsidRPr="00786DDC">
        <w:rPr>
          <w:noProof/>
          <w:lang w:eastAsia="en-GB"/>
        </w:rPr>
        <w:drawing>
          <wp:inline distT="0" distB="0" distL="0" distR="0" wp14:anchorId="3E6276E9" wp14:editId="6278A64E">
            <wp:extent cx="4679950" cy="4658550"/>
            <wp:effectExtent l="0" t="0" r="6350" b="889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950" cy="4658550"/>
                    </a:xfrm>
                    <a:prstGeom prst="rect">
                      <a:avLst/>
                    </a:prstGeom>
                    <a:noFill/>
                    <a:ln>
                      <a:noFill/>
                    </a:ln>
                    <a:effectLst/>
                    <a:extLst/>
                  </pic:spPr>
                </pic:pic>
              </a:graphicData>
            </a:graphic>
          </wp:inline>
        </w:drawing>
      </w:r>
    </w:p>
    <w:p w:rsidR="006E4E47" w:rsidRDefault="006E4E47" w:rsidP="006E4E47">
      <w:pPr>
        <w:pStyle w:val="Caption"/>
        <w:jc w:val="center"/>
        <w:rPr>
          <w:sz w:val="20"/>
        </w:rPr>
      </w:pPr>
      <w:bookmarkStart w:id="22" w:name="_Ref486344316"/>
      <w:r w:rsidRPr="006E4E47">
        <w:rPr>
          <w:sz w:val="20"/>
        </w:rPr>
        <w:t xml:space="preserve">Figure </w:t>
      </w:r>
      <w:r w:rsidRPr="006E4E47">
        <w:rPr>
          <w:sz w:val="20"/>
        </w:rPr>
        <w:fldChar w:fldCharType="begin"/>
      </w:r>
      <w:r w:rsidRPr="006E4E47">
        <w:rPr>
          <w:sz w:val="20"/>
        </w:rPr>
        <w:instrText xml:space="preserve"> SEQ Figure \* ARABIC </w:instrText>
      </w:r>
      <w:r w:rsidRPr="006E4E47">
        <w:rPr>
          <w:sz w:val="20"/>
        </w:rPr>
        <w:fldChar w:fldCharType="separate"/>
      </w:r>
      <w:r w:rsidR="00EC7985">
        <w:rPr>
          <w:noProof/>
          <w:sz w:val="20"/>
        </w:rPr>
        <w:t>8</w:t>
      </w:r>
      <w:r w:rsidRPr="006E4E47">
        <w:rPr>
          <w:sz w:val="20"/>
        </w:rPr>
        <w:fldChar w:fldCharType="end"/>
      </w:r>
      <w:bookmarkEnd w:id="22"/>
      <w:r w:rsidRPr="006E4E47">
        <w:rPr>
          <w:sz w:val="20"/>
        </w:rPr>
        <w:t xml:space="preserve">: Maximum CAS requirement &amp; </w:t>
      </w:r>
      <w:proofErr w:type="spellStart"/>
      <w:r w:rsidRPr="006E4E47">
        <w:rPr>
          <w:sz w:val="20"/>
        </w:rPr>
        <w:t>enroute</w:t>
      </w:r>
      <w:proofErr w:type="spellEnd"/>
      <w:r w:rsidRPr="006E4E47">
        <w:rPr>
          <w:sz w:val="20"/>
        </w:rPr>
        <w:t xml:space="preserve"> hold</w:t>
      </w:r>
    </w:p>
    <w:p w:rsidR="006E4E47" w:rsidRDefault="006E4E47" w:rsidP="006E4E47">
      <w:r>
        <w:t xml:space="preserve">The maximum CAS requirement </w:t>
      </w:r>
      <w:r w:rsidR="00687ACA">
        <w:t>(</w:t>
      </w:r>
      <w:r w:rsidR="00687ACA">
        <w:fldChar w:fldCharType="begin"/>
      </w:r>
      <w:r w:rsidR="00687ACA" w:rsidRPr="00687ACA">
        <w:instrText xml:space="preserve"> REF _Ref486344316 \h </w:instrText>
      </w:r>
      <w:r w:rsidR="00687ACA">
        <w:instrText xml:space="preserve"> \* MERGEFORMAT </w:instrText>
      </w:r>
      <w:r w:rsidR="00687ACA">
        <w:fldChar w:fldCharType="separate"/>
      </w:r>
      <w:r w:rsidR="00EC7985" w:rsidRPr="00EC7985">
        <w:t xml:space="preserve">Figure </w:t>
      </w:r>
      <w:r w:rsidR="00EC7985" w:rsidRPr="00EC7985">
        <w:rPr>
          <w:noProof/>
        </w:rPr>
        <w:t>8</w:t>
      </w:r>
      <w:r w:rsidR="00687ACA">
        <w:fldChar w:fldCharType="end"/>
      </w:r>
      <w:r w:rsidR="00687ACA">
        <w:t xml:space="preserve">) </w:t>
      </w:r>
      <w:r>
        <w:t>would enable traffic on (U</w:t>
      </w:r>
      <w:proofErr w:type="gramStart"/>
      <w:r>
        <w:t>)M185</w:t>
      </w:r>
      <w:proofErr w:type="gramEnd"/>
      <w:r>
        <w:t xml:space="preserve"> to descend to FL125 if/when required, enabling an optimum descent profile. </w:t>
      </w:r>
    </w:p>
    <w:p w:rsidR="006E4E47" w:rsidRDefault="006E4E47" w:rsidP="006E4E47">
      <w:r>
        <w:t>It would require the maximum volume of CAS, FL125+.</w:t>
      </w:r>
    </w:p>
    <w:p w:rsidR="006E4E47" w:rsidRDefault="006E4E47" w:rsidP="006E4E47">
      <w:r>
        <w:t>It would eliminate the current cul-de-sac of Class G airspace and it would create a common base of CAS but it would not create a common airspace classification across the sections of the Portsmouth and Southern CTAs in question.</w:t>
      </w:r>
    </w:p>
    <w:p w:rsidR="006E4E47" w:rsidRDefault="006E4E47" w:rsidP="006E4E47">
      <w:r>
        <w:t>It would enable increased numbers of aircraft to benefit from direct routings in addition to those which receive them today.</w:t>
      </w:r>
    </w:p>
    <w:p w:rsidR="006E4E47" w:rsidRDefault="006E4E47" w:rsidP="006E4E47">
      <w:r>
        <w:t>It would enable the establishment of an en-route hold for LOREL inbounds AT FL125+ giving greater network resilience during peak periods and unforeseen circumstances and it would deliver increased airspace for weather avoidance manoeuvres.</w:t>
      </w:r>
    </w:p>
    <w:p w:rsidR="006E4E47" w:rsidRDefault="006E4E47" w:rsidP="006E4E47">
      <w:r>
        <w:t>If the CDR (U</w:t>
      </w:r>
      <w:proofErr w:type="gramStart"/>
      <w:r>
        <w:t>)M185</w:t>
      </w:r>
      <w:proofErr w:type="gramEnd"/>
      <w:r>
        <w:t xml:space="preserve"> is not approved by the CAA this option would still enable benefits to operation as described above.</w:t>
      </w:r>
    </w:p>
    <w:p w:rsidR="006E4E47" w:rsidRDefault="006E4E47" w:rsidP="006E4E47">
      <w:r>
        <w:t>This option has been discounted in favour of the option described in this consultation document in order to deliver these benefits but with the addition of a common airspace classification.</w:t>
      </w:r>
    </w:p>
    <w:p w:rsidR="006E4E47" w:rsidRDefault="006E4E47" w:rsidP="006E4E47">
      <w:pPr>
        <w:pStyle w:val="Heading2Numbered"/>
      </w:pPr>
      <w:bookmarkStart w:id="23" w:name="_Toc486405378"/>
      <w:r>
        <w:lastRenderedPageBreak/>
        <w:t>Maximum CAS requirement and change of airspace classification for adjacent CTA</w:t>
      </w:r>
      <w:bookmarkEnd w:id="23"/>
      <w:r>
        <w:t xml:space="preserve"> </w:t>
      </w:r>
    </w:p>
    <w:p w:rsidR="006E4E47" w:rsidRDefault="006E4E47" w:rsidP="006E4E47">
      <w:proofErr w:type="gramStart"/>
      <w:r w:rsidRPr="006E4E47">
        <w:t>As proposed and described within this consultation document.</w:t>
      </w:r>
      <w:proofErr w:type="gramEnd"/>
    </w:p>
    <w:p w:rsidR="006E4E47" w:rsidRDefault="006E4E47" w:rsidP="006E4E47"/>
    <w:p w:rsidR="006E4E47" w:rsidRDefault="006E4E47" w:rsidP="006E4E47">
      <w:pPr>
        <w:pStyle w:val="Heading1Numbered"/>
        <w:framePr w:wrap="around"/>
      </w:pPr>
      <w:bookmarkStart w:id="24" w:name="_Toc486405379"/>
      <w:r>
        <w:lastRenderedPageBreak/>
        <w:t>How to Respond to this Consultation</w:t>
      </w:r>
      <w:bookmarkEnd w:id="24"/>
    </w:p>
    <w:p w:rsidR="006E4E47" w:rsidRDefault="006E4E47" w:rsidP="006E4E47">
      <w:r>
        <w:t>You have received this consultation paper as you are a member of the National Air Traffic Management Advisory Committee (NATMAC).</w:t>
      </w:r>
    </w:p>
    <w:p w:rsidR="006E4E47" w:rsidRDefault="006E4E47" w:rsidP="006E4E47">
      <w:r>
        <w:t>We would ask that you read the consultation document, consider the contents and reply by responding to the email to which this document was attached.  The lower part of the email contains a section to be completed by ticking a selection box to either, support, object to or have no objection to the proposal.  There is also a free text box for further comment if required.</w:t>
      </w:r>
    </w:p>
    <w:p w:rsidR="006E4E47" w:rsidRDefault="006E4E47" w:rsidP="006E4E47">
      <w:r>
        <w:t>If you read this consultation and feel that it will not impact you we would still appreciate a response to that affect, using the third tick box option ‘no objection’.  This lets us know that the document has reached its intended audience even if you are not affected.</w:t>
      </w:r>
    </w:p>
    <w:p w:rsidR="006E4E47" w:rsidRDefault="006E4E47" w:rsidP="006E4E47">
      <w:r>
        <w:t>All responses will be passed to the CAA.  If you do not wish for your name and address to be passed to the CAA please make that clear in your response.</w:t>
      </w:r>
    </w:p>
    <w:p w:rsidR="006E4E47" w:rsidRDefault="006E4E47" w:rsidP="006E4E47">
      <w:r>
        <w:t>The Civil Aviation Authority’s Safety and Airspace Regulation Group (SARG) will oversee the consultation and ensure that it adheres to the process laid down in CAP725 and government guidelines.</w:t>
      </w:r>
    </w:p>
    <w:p w:rsidR="006E4E47" w:rsidRDefault="006E4E47" w:rsidP="006E4E47">
      <w:r>
        <w:t>If you have any complaints regarding how this consultation has been conducted, these should be referred to:</w:t>
      </w:r>
    </w:p>
    <w:p w:rsidR="006E4E47" w:rsidRDefault="006E4E47" w:rsidP="006E4E47">
      <w:pPr>
        <w:spacing w:after="0"/>
        <w:ind w:firstLine="720"/>
      </w:pPr>
      <w:r>
        <w:t>Airspace Regulator (Coordination)</w:t>
      </w:r>
    </w:p>
    <w:p w:rsidR="006E4E47" w:rsidRDefault="006E4E47" w:rsidP="006E4E47">
      <w:pPr>
        <w:spacing w:after="0"/>
        <w:ind w:firstLine="720"/>
      </w:pPr>
      <w:r>
        <w:t>Airspace, ATM &amp; Aerodromes</w:t>
      </w:r>
    </w:p>
    <w:p w:rsidR="006E4E47" w:rsidRDefault="006E4E47" w:rsidP="006E4E47">
      <w:pPr>
        <w:spacing w:after="0"/>
        <w:ind w:firstLine="720"/>
      </w:pPr>
      <w:r>
        <w:t>Safety &amp; Airspace Regulation Group</w:t>
      </w:r>
    </w:p>
    <w:p w:rsidR="006E4E47" w:rsidRDefault="006E4E47" w:rsidP="006E4E47">
      <w:pPr>
        <w:spacing w:after="0"/>
        <w:ind w:firstLine="720"/>
      </w:pPr>
      <w:r>
        <w:t>CAA House</w:t>
      </w:r>
    </w:p>
    <w:p w:rsidR="006E4E47" w:rsidRDefault="006E4E47" w:rsidP="006E4E47">
      <w:pPr>
        <w:spacing w:after="0"/>
        <w:ind w:firstLine="720"/>
      </w:pPr>
      <w:r>
        <w:t>45-49 Kingsway</w:t>
      </w:r>
    </w:p>
    <w:p w:rsidR="006E4E47" w:rsidRDefault="006E4E47" w:rsidP="006E4E47">
      <w:pPr>
        <w:ind w:firstLine="720"/>
      </w:pPr>
      <w:r>
        <w:t>London WC2B 6TE</w:t>
      </w:r>
    </w:p>
    <w:p w:rsidR="006E4E47" w:rsidRPr="006E4E47" w:rsidRDefault="006E4E47" w:rsidP="006E4E47">
      <w:r>
        <w:t>Please note that this address is for concerns and complaints regarding the non-adherence to the defined consultation process and SARG will not engage in communication regarding the proposed changes.</w:t>
      </w:r>
    </w:p>
    <w:sectPr w:rsidR="006E4E47" w:rsidRPr="006E4E47" w:rsidSect="00756294">
      <w:headerReference w:type="even" r:id="rId26"/>
      <w:headerReference w:type="default" r:id="rId27"/>
      <w:footerReference w:type="even" r:id="rId28"/>
      <w:footerReference w:type="default" r:id="rId29"/>
      <w:headerReference w:type="first" r:id="rId30"/>
      <w:pgSz w:w="11906" w:h="16838" w:code="9"/>
      <w:pgMar w:top="1134" w:right="1134" w:bottom="1701" w:left="1418" w:header="397"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8DB" w:rsidRDefault="008F58DB" w:rsidP="002C4922">
      <w:r>
        <w:separator/>
      </w:r>
    </w:p>
    <w:p w:rsidR="008F58DB" w:rsidRDefault="008F58DB"/>
  </w:endnote>
  <w:endnote w:type="continuationSeparator" w:id="0">
    <w:p w:rsidR="008F58DB" w:rsidRDefault="008F58DB" w:rsidP="002C4922">
      <w:r>
        <w:continuationSeparator/>
      </w:r>
    </w:p>
    <w:p w:rsidR="008F58DB" w:rsidRDefault="008F5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D84EF492-F81D-4FAF-9292-EEBD36A07398}"/>
    <w:embedBold r:id="rId2" w:fontKey="{501BB6A4-A0CD-414C-9EE4-085BABC7BCBE}"/>
  </w:font>
  <w:font w:name="Verdana">
    <w:panose1 w:val="020B0604030504040204"/>
    <w:charset w:val="00"/>
    <w:family w:val="swiss"/>
    <w:pitch w:val="variable"/>
    <w:sig w:usb0="A10006FF" w:usb1="4000205B" w:usb2="00000010" w:usb3="00000000" w:csb0="0000019F" w:csb1="00000000"/>
    <w:embedRegular r:id="rId3" w:fontKey="{C0722ED2-F1ED-461E-8D4B-A28CCC043BBE}"/>
  </w:font>
  <w:font w:name="Franklin Gothic Book">
    <w:panose1 w:val="020B0503020102020204"/>
    <w:charset w:val="00"/>
    <w:family w:val="swiss"/>
    <w:pitch w:val="variable"/>
    <w:sig w:usb0="00000287" w:usb1="00000000" w:usb2="00000000" w:usb3="00000000" w:csb0="0000009F" w:csb1="00000000"/>
    <w:embedRegular r:id="rId4" w:fontKey="{21CE2F92-8172-4FD9-985B-E8BB2435151B}"/>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BE35777A-AA02-4162-A30E-7280FCB52218}"/>
  </w:font>
  <w:font w:name="Roboto Light">
    <w:panose1 w:val="02000000000000000000"/>
    <w:charset w:val="00"/>
    <w:family w:val="auto"/>
    <w:pitch w:val="variable"/>
    <w:sig w:usb0="E0000AFF" w:usb1="5000217F" w:usb2="00000021" w:usb3="00000000" w:csb0="0000019F" w:csb1="00000000"/>
    <w:embedRegular r:id="rId6" w:fontKey="{7935C470-5198-4EB0-AB36-C6F18E9B4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6" w:type="dxa"/>
      <w:tblInd w:w="-1304" w:type="dxa"/>
      <w:tblBorders>
        <w:top w:val="single" w:sz="4" w:space="0" w:color="auto"/>
      </w:tblBorders>
      <w:tblLook w:val="0400" w:firstRow="0" w:lastRow="0" w:firstColumn="0" w:lastColumn="0" w:noHBand="0" w:noVBand="1"/>
    </w:tblPr>
    <w:tblGrid>
      <w:gridCol w:w="2098"/>
      <w:gridCol w:w="8108"/>
    </w:tblGrid>
    <w:tr w:rsidR="008048DA" w:rsidRPr="008048DA" w:rsidTr="008048DA">
      <w:trPr>
        <w:trHeight w:hRule="exact" w:val="340"/>
      </w:trPr>
      <w:tc>
        <w:tcPr>
          <w:tcW w:w="2098" w:type="dxa"/>
          <w:vAlign w:val="bottom"/>
        </w:tcPr>
        <w:p w:rsidR="008048DA" w:rsidRPr="008048DA" w:rsidRDefault="007C0038" w:rsidP="008048DA">
          <w:pPr>
            <w:pStyle w:val="Footer"/>
          </w:pPr>
          <w:fldSimple w:instr=" STYLEREF  &quot;Protected marking&quot;  \* MERGEFORMAT ">
            <w:r w:rsidR="00EC7985" w:rsidRPr="00EC7985">
              <w:rPr>
                <w:b/>
                <w:bCs/>
                <w:noProof/>
                <w:lang w:val="en-US"/>
              </w:rPr>
              <w:t>Unmarked</w:t>
            </w:r>
          </w:fldSimple>
        </w:p>
      </w:tc>
      <w:tc>
        <w:tcPr>
          <w:tcW w:w="8108" w:type="dxa"/>
          <w:vAlign w:val="bottom"/>
        </w:tcPr>
        <w:p w:rsidR="008048DA" w:rsidRPr="008048DA" w:rsidRDefault="006110BD" w:rsidP="006110BD">
          <w:pPr>
            <w:pStyle w:val="Footer"/>
            <w:jc w:val="right"/>
          </w:pPr>
          <w:r>
            <w:t xml:space="preserve">Page </w:t>
          </w:r>
          <w:r>
            <w:rPr>
              <w:b/>
            </w:rPr>
            <w:fldChar w:fldCharType="begin"/>
          </w:r>
          <w:r>
            <w:rPr>
              <w:b/>
            </w:rPr>
            <w:instrText xml:space="preserve"> PAGE  \* Arabic  \* MERGEFORMAT </w:instrText>
          </w:r>
          <w:r>
            <w:rPr>
              <w:b/>
            </w:rPr>
            <w:fldChar w:fldCharType="separate"/>
          </w:r>
          <w:r w:rsidR="00E62EB0">
            <w:rPr>
              <w:b/>
              <w:noProof/>
            </w:rPr>
            <w:t>8</w:t>
          </w:r>
          <w:r>
            <w:rPr>
              <w:b/>
            </w:rPr>
            <w:fldChar w:fldCharType="end"/>
          </w:r>
          <w:r>
            <w:t xml:space="preserve"> of </w:t>
          </w:r>
          <w:r>
            <w:rPr>
              <w:b/>
            </w:rPr>
            <w:fldChar w:fldCharType="begin"/>
          </w:r>
          <w:r>
            <w:rPr>
              <w:b/>
            </w:rPr>
            <w:instrText xml:space="preserve"> NUMPAGES  \* Arabic  \* MERGEFORMAT </w:instrText>
          </w:r>
          <w:r>
            <w:rPr>
              <w:b/>
            </w:rPr>
            <w:fldChar w:fldCharType="separate"/>
          </w:r>
          <w:r w:rsidR="00EC7985">
            <w:rPr>
              <w:b/>
              <w:noProof/>
            </w:rPr>
            <w:t>16</w:t>
          </w:r>
          <w:r>
            <w:rPr>
              <w:b/>
            </w:rPr>
            <w:fldChar w:fldCharType="end"/>
          </w:r>
        </w:p>
      </w:tc>
    </w:tr>
  </w:tbl>
  <w:p w:rsidR="008048DA" w:rsidRPr="005E5AB5" w:rsidRDefault="008048DA" w:rsidP="005E5A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6" w:type="dxa"/>
      <w:tblInd w:w="-1304" w:type="dxa"/>
      <w:tblBorders>
        <w:top w:val="single" w:sz="4" w:space="0" w:color="auto"/>
      </w:tblBorders>
      <w:tblLook w:val="0400" w:firstRow="0" w:lastRow="0" w:firstColumn="0" w:lastColumn="0" w:noHBand="0" w:noVBand="1"/>
    </w:tblPr>
    <w:tblGrid>
      <w:gridCol w:w="2098"/>
      <w:gridCol w:w="8108"/>
    </w:tblGrid>
    <w:tr w:rsidR="00056734" w:rsidRPr="008048DA" w:rsidTr="008048DA">
      <w:trPr>
        <w:trHeight w:hRule="exact" w:val="340"/>
      </w:trPr>
      <w:tc>
        <w:tcPr>
          <w:tcW w:w="2098" w:type="dxa"/>
          <w:vAlign w:val="bottom"/>
        </w:tcPr>
        <w:p w:rsidR="00056734" w:rsidRPr="008048DA" w:rsidRDefault="007C0038" w:rsidP="008048DA">
          <w:pPr>
            <w:pStyle w:val="Footer"/>
          </w:pPr>
          <w:fldSimple w:instr=" STYLEREF  &quot;Protected marking&quot;  \* MERGEFORMAT ">
            <w:r w:rsidR="00EC7985" w:rsidRPr="00EC7985">
              <w:rPr>
                <w:b/>
                <w:bCs/>
                <w:noProof/>
                <w:lang w:val="en-US"/>
              </w:rPr>
              <w:t>Unmarked</w:t>
            </w:r>
          </w:fldSimple>
        </w:p>
      </w:tc>
      <w:tc>
        <w:tcPr>
          <w:tcW w:w="8108" w:type="dxa"/>
          <w:vAlign w:val="bottom"/>
        </w:tcPr>
        <w:p w:rsidR="00056734" w:rsidRPr="008048DA" w:rsidRDefault="00056734" w:rsidP="006110BD">
          <w:pPr>
            <w:pStyle w:val="Footer"/>
            <w:jc w:val="right"/>
          </w:pPr>
          <w:r>
            <w:t xml:space="preserve">Page </w:t>
          </w:r>
          <w:r>
            <w:rPr>
              <w:b/>
            </w:rPr>
            <w:fldChar w:fldCharType="begin"/>
          </w:r>
          <w:r>
            <w:rPr>
              <w:b/>
            </w:rPr>
            <w:instrText xml:space="preserve"> PAGE  \* Arabic  \* MERGEFORMAT </w:instrText>
          </w:r>
          <w:r>
            <w:rPr>
              <w:b/>
            </w:rPr>
            <w:fldChar w:fldCharType="separate"/>
          </w:r>
          <w:r w:rsidR="00415A11">
            <w:rPr>
              <w:b/>
              <w:noProof/>
            </w:rPr>
            <w:t>4</w:t>
          </w:r>
          <w:r>
            <w:rPr>
              <w:b/>
            </w:rPr>
            <w:fldChar w:fldCharType="end"/>
          </w:r>
          <w:r>
            <w:t xml:space="preserve"> of </w:t>
          </w:r>
          <w:r>
            <w:rPr>
              <w:b/>
            </w:rPr>
            <w:fldChar w:fldCharType="begin"/>
          </w:r>
          <w:r>
            <w:rPr>
              <w:b/>
            </w:rPr>
            <w:instrText xml:space="preserve"> NUMPAGES  \* Arabic  \* MERGEFORMAT </w:instrText>
          </w:r>
          <w:r>
            <w:rPr>
              <w:b/>
            </w:rPr>
            <w:fldChar w:fldCharType="separate"/>
          </w:r>
          <w:r w:rsidR="00EC7985">
            <w:rPr>
              <w:b/>
              <w:noProof/>
            </w:rPr>
            <w:t>16</w:t>
          </w:r>
          <w:r>
            <w:rPr>
              <w:b/>
            </w:rPr>
            <w:fldChar w:fldCharType="end"/>
          </w:r>
        </w:p>
      </w:tc>
    </w:tr>
  </w:tbl>
  <w:p w:rsidR="00056734" w:rsidRPr="005E5AB5" w:rsidRDefault="00056734" w:rsidP="005E5AB5"/>
  <w:p w:rsidR="00483CBA" w:rsidRDefault="00483C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25" w:type="dxa"/>
      <w:tblInd w:w="24" w:type="dxa"/>
      <w:tblBorders>
        <w:top w:val="single" w:sz="4" w:space="0" w:color="auto"/>
      </w:tblBorders>
      <w:tblLook w:val="0400" w:firstRow="0" w:lastRow="0" w:firstColumn="0" w:lastColumn="0" w:noHBand="0" w:noVBand="1"/>
    </w:tblPr>
    <w:tblGrid>
      <w:gridCol w:w="2705"/>
      <w:gridCol w:w="6920"/>
    </w:tblGrid>
    <w:tr w:rsidR="00D75A74" w:rsidRPr="008048DA" w:rsidTr="00DA77B0">
      <w:trPr>
        <w:trHeight w:hRule="exact" w:val="290"/>
      </w:trPr>
      <w:tc>
        <w:tcPr>
          <w:tcW w:w="2705" w:type="dxa"/>
          <w:vAlign w:val="bottom"/>
        </w:tcPr>
        <w:p w:rsidR="00415A11" w:rsidRPr="008048DA" w:rsidRDefault="00257377" w:rsidP="00BA74A6">
          <w:pPr>
            <w:pStyle w:val="Footer"/>
          </w:pPr>
          <w:r>
            <w:fldChar w:fldCharType="begin"/>
          </w:r>
          <w:r>
            <w:instrText xml:space="preserve"> STYLEREF  "Protected marking"  \* MERGEFORMAT </w:instrText>
          </w:r>
          <w:r>
            <w:fldChar w:fldCharType="separate"/>
          </w:r>
          <w:r w:rsidRPr="00257377">
            <w:rPr>
              <w:b/>
              <w:bCs/>
              <w:noProof/>
              <w:lang w:val="en-US"/>
            </w:rPr>
            <w:t>Unmarked</w:t>
          </w:r>
          <w:r>
            <w:rPr>
              <w:b/>
              <w:bCs/>
              <w:noProof/>
              <w:lang w:val="en-US"/>
            </w:rPr>
            <w:fldChar w:fldCharType="end"/>
          </w:r>
        </w:p>
      </w:tc>
      <w:tc>
        <w:tcPr>
          <w:tcW w:w="6920" w:type="dxa"/>
          <w:vAlign w:val="bottom"/>
        </w:tcPr>
        <w:p w:rsidR="00415A11" w:rsidRPr="008048DA" w:rsidRDefault="00415A11" w:rsidP="00D75A74">
          <w:pPr>
            <w:pStyle w:val="Footer"/>
            <w:ind w:left="463"/>
            <w:jc w:val="right"/>
          </w:pPr>
          <w:r>
            <w:t xml:space="preserve">Page </w:t>
          </w:r>
          <w:r>
            <w:rPr>
              <w:b/>
            </w:rPr>
            <w:fldChar w:fldCharType="begin"/>
          </w:r>
          <w:r>
            <w:rPr>
              <w:b/>
            </w:rPr>
            <w:instrText xml:space="preserve"> PAGE  \* Arabic  \* MERGEFORMAT </w:instrText>
          </w:r>
          <w:r>
            <w:rPr>
              <w:b/>
            </w:rPr>
            <w:fldChar w:fldCharType="separate"/>
          </w:r>
          <w:r w:rsidR="00257377">
            <w:rPr>
              <w:b/>
              <w:noProof/>
            </w:rPr>
            <w:t>5</w:t>
          </w:r>
          <w:r>
            <w:rPr>
              <w:b/>
            </w:rPr>
            <w:fldChar w:fldCharType="end"/>
          </w:r>
          <w:r>
            <w:t xml:space="preserve"> of </w:t>
          </w:r>
          <w:r>
            <w:rPr>
              <w:b/>
            </w:rPr>
            <w:fldChar w:fldCharType="begin"/>
          </w:r>
          <w:r>
            <w:rPr>
              <w:b/>
            </w:rPr>
            <w:instrText xml:space="preserve"> NUMPAGES  \* Arabic  \* MERGEFORMAT </w:instrText>
          </w:r>
          <w:r>
            <w:rPr>
              <w:b/>
            </w:rPr>
            <w:fldChar w:fldCharType="separate"/>
          </w:r>
          <w:r w:rsidR="00257377">
            <w:rPr>
              <w:b/>
              <w:noProof/>
            </w:rPr>
            <w:t>16</w:t>
          </w:r>
          <w:r>
            <w:rPr>
              <w:b/>
            </w:rPr>
            <w:fldChar w:fldCharType="end"/>
          </w:r>
        </w:p>
      </w:tc>
    </w:tr>
  </w:tbl>
  <w:p w:rsidR="00483CBA" w:rsidRDefault="00483C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8DB" w:rsidRDefault="008F58DB" w:rsidP="002C4922"/>
    <w:p w:rsidR="008F58DB" w:rsidRDefault="008F58DB"/>
  </w:footnote>
  <w:footnote w:type="continuationSeparator" w:id="0">
    <w:p w:rsidR="008F58DB" w:rsidRDefault="008F58DB" w:rsidP="002C4922">
      <w:r>
        <w:continuationSeparator/>
      </w:r>
    </w:p>
    <w:p w:rsidR="008F58DB" w:rsidRDefault="008F58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6" w:type="dxa"/>
      <w:tblInd w:w="-1304" w:type="dxa"/>
      <w:tblBorders>
        <w:bottom w:val="single" w:sz="4" w:space="0" w:color="auto"/>
      </w:tblBorders>
      <w:tblLook w:val="04A0" w:firstRow="1" w:lastRow="0" w:firstColumn="1" w:lastColumn="0" w:noHBand="0" w:noVBand="1"/>
    </w:tblPr>
    <w:tblGrid>
      <w:gridCol w:w="2098"/>
      <w:gridCol w:w="8108"/>
    </w:tblGrid>
    <w:tr w:rsidR="008E7665" w:rsidRPr="008E7665" w:rsidTr="00D27265">
      <w:trPr>
        <w:trHeight w:hRule="exact" w:val="340"/>
      </w:trPr>
      <w:tc>
        <w:tcPr>
          <w:tcW w:w="2098" w:type="dxa"/>
        </w:tcPr>
        <w:p w:rsidR="008E7665" w:rsidRPr="008E7665" w:rsidRDefault="009C3602">
          <w:pPr>
            <w:pStyle w:val="Header"/>
            <w:rPr>
              <w:sz w:val="14"/>
              <w:szCs w:val="14"/>
            </w:rPr>
          </w:pPr>
          <w:r w:rsidRPr="008E7665">
            <w:rPr>
              <w:sz w:val="14"/>
              <w:szCs w:val="14"/>
            </w:rPr>
            <w:fldChar w:fldCharType="begin"/>
          </w:r>
          <w:r w:rsidR="008E7665" w:rsidRPr="008E7665">
            <w:rPr>
              <w:sz w:val="14"/>
              <w:szCs w:val="14"/>
            </w:rPr>
            <w:instrText xml:space="preserve"> PAGE   \* MERGEFORMAT </w:instrText>
          </w:r>
          <w:r w:rsidRPr="008E7665">
            <w:rPr>
              <w:sz w:val="14"/>
              <w:szCs w:val="14"/>
            </w:rPr>
            <w:fldChar w:fldCharType="separate"/>
          </w:r>
          <w:r w:rsidR="0007641E">
            <w:rPr>
              <w:noProof/>
              <w:sz w:val="14"/>
              <w:szCs w:val="14"/>
            </w:rPr>
            <w:t>1</w:t>
          </w:r>
          <w:r w:rsidRPr="008E7665">
            <w:rPr>
              <w:sz w:val="14"/>
              <w:szCs w:val="14"/>
            </w:rPr>
            <w:fldChar w:fldCharType="end"/>
          </w:r>
        </w:p>
      </w:tc>
      <w:tc>
        <w:tcPr>
          <w:tcW w:w="8108" w:type="dxa"/>
        </w:tcPr>
        <w:sdt>
          <w:sdtPr>
            <w:rPr>
              <w:sz w:val="14"/>
            </w:rPr>
            <w:alias w:val="Title"/>
            <w:tag w:val=""/>
            <w:id w:val="1654725828"/>
            <w:dataBinding w:prefixMappings="xmlns:ns0='http://purl.org/dc/elements/1.1/' xmlns:ns1='http://schemas.openxmlformats.org/package/2006/metadata/core-properties' " w:xpath="/ns1:coreProperties[1]/ns0:title[1]" w:storeItemID="{6C3C8BC8-F283-45AE-878A-BAB7291924A1}"/>
            <w:text/>
          </w:sdtPr>
          <w:sdtEndPr/>
          <w:sdtContent>
            <w:p w:rsidR="008E7665" w:rsidRPr="008E7665" w:rsidRDefault="00595351" w:rsidP="004049F4">
              <w:pPr>
                <w:pStyle w:val="Header"/>
                <w:jc w:val="right"/>
                <w:rPr>
                  <w:sz w:val="14"/>
                  <w:szCs w:val="14"/>
                </w:rPr>
              </w:pPr>
              <w:proofErr w:type="spellStart"/>
              <w:r>
                <w:rPr>
                  <w:sz w:val="14"/>
                </w:rPr>
                <w:t>Swanwick</w:t>
              </w:r>
              <w:proofErr w:type="spellEnd"/>
              <w:r>
                <w:rPr>
                  <w:sz w:val="14"/>
                </w:rPr>
                <w:t xml:space="preserve"> Airspace Improvement </w:t>
              </w:r>
              <w:proofErr w:type="spellStart"/>
              <w:r>
                <w:rPr>
                  <w:sz w:val="14"/>
                </w:rPr>
                <w:t>Proramme</w:t>
              </w:r>
              <w:proofErr w:type="spellEnd"/>
              <w:r>
                <w:rPr>
                  <w:sz w:val="14"/>
                </w:rPr>
                <w:t>: Consultation Document</w:t>
              </w:r>
            </w:p>
          </w:sdtContent>
        </w:sdt>
      </w:tc>
    </w:tr>
  </w:tbl>
  <w:p w:rsidR="008E7665" w:rsidRDefault="008E76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665" w:rsidRPr="001840D5" w:rsidRDefault="001840D5" w:rsidP="001840D5">
    <w:pPr>
      <w:pStyle w:val="Header"/>
    </w:pPr>
    <w:r>
      <w:rPr>
        <w:noProof/>
        <w:lang w:eastAsia="en-GB"/>
      </w:rPr>
      <w:drawing>
        <wp:anchor distT="0" distB="0" distL="114300" distR="114300" simplePos="0" relativeHeight="251659776" behindDoc="1" locked="0" layoutInCell="1" allowOverlap="1" wp14:anchorId="0D6A990C" wp14:editId="74F8EDB8">
          <wp:simplePos x="0" y="0"/>
          <wp:positionH relativeFrom="page">
            <wp:posOffset>5076825</wp:posOffset>
          </wp:positionH>
          <wp:positionV relativeFrom="page">
            <wp:posOffset>5487942</wp:posOffset>
          </wp:positionV>
          <wp:extent cx="2390760" cy="10882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S_OnScreen_Flightmark_TwilightBlue_RGB.png"/>
                  <pic:cNvPicPr/>
                </pic:nvPicPr>
                <pic:blipFill>
                  <a:blip r:embed="rId1">
                    <a:extLst>
                      <a:ext uri="{28A0092B-C50C-407E-A947-70E740481C1C}">
                        <a14:useLocalDpi xmlns:a14="http://schemas.microsoft.com/office/drawing/2010/main" val="0"/>
                      </a:ext>
                    </a:extLst>
                  </a:blip>
                  <a:stretch>
                    <a:fillRect/>
                  </a:stretch>
                </pic:blipFill>
                <pic:spPr>
                  <a:xfrm>
                    <a:off x="0" y="0"/>
                    <a:ext cx="2390760" cy="10882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728" behindDoc="1" locked="0" layoutInCell="1" allowOverlap="1" wp14:anchorId="788AAC11" wp14:editId="0CC49845">
          <wp:simplePos x="0" y="0"/>
          <wp:positionH relativeFrom="page">
            <wp:posOffset>0</wp:posOffset>
          </wp:positionH>
          <wp:positionV relativeFrom="page">
            <wp:posOffset>3769995</wp:posOffset>
          </wp:positionV>
          <wp:extent cx="7545240" cy="66376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ht-blue-Lines.png"/>
                  <pic:cNvPicPr/>
                </pic:nvPicPr>
                <pic:blipFill>
                  <a:blip r:embed="rId2" cstate="print">
                    <a:extLst>
                      <a:ext uri="{28A0092B-C50C-407E-A947-70E740481C1C}">
                        <a14:useLocalDpi xmlns:a14="http://schemas.microsoft.com/office/drawing/2010/main"/>
                      </a:ext>
                    </a:extLst>
                  </a:blip>
                  <a:stretch>
                    <a:fillRect/>
                  </a:stretch>
                </pic:blipFill>
                <pic:spPr>
                  <a:xfrm>
                    <a:off x="0" y="0"/>
                    <a:ext cx="7545240" cy="66376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CD" w:rsidRDefault="0007641E">
    <w:pPr>
      <w:pStyle w:val="Header"/>
    </w:pPr>
    <w:r>
      <w:rPr>
        <w:noProof/>
        <w:lang w:eastAsia="en-GB"/>
      </w:rPr>
      <w:drawing>
        <wp:anchor distT="0" distB="0" distL="114300" distR="114300" simplePos="0" relativeHeight="251661312" behindDoc="1" locked="0" layoutInCell="1" allowOverlap="1" wp14:anchorId="2DD02125" wp14:editId="6D123C3F">
          <wp:simplePos x="0" y="0"/>
          <wp:positionH relativeFrom="page">
            <wp:posOffset>5076825</wp:posOffset>
          </wp:positionH>
          <wp:positionV relativeFrom="page">
            <wp:posOffset>5487942</wp:posOffset>
          </wp:positionV>
          <wp:extent cx="2390760" cy="1088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S_OnScreen_Flightmark_TwilightBlue_RGB.png"/>
                  <pic:cNvPicPr/>
                </pic:nvPicPr>
                <pic:blipFill>
                  <a:blip r:embed="rId1">
                    <a:extLst>
                      <a:ext uri="{28A0092B-C50C-407E-A947-70E740481C1C}">
                        <a14:useLocalDpi xmlns:a14="http://schemas.microsoft.com/office/drawing/2010/main" val="0"/>
                      </a:ext>
                    </a:extLst>
                  </a:blip>
                  <a:stretch>
                    <a:fillRect/>
                  </a:stretch>
                </pic:blipFill>
                <pic:spPr>
                  <a:xfrm>
                    <a:off x="0" y="0"/>
                    <a:ext cx="2390760" cy="1088280"/>
                  </a:xfrm>
                  <a:prstGeom prst="rect">
                    <a:avLst/>
                  </a:prstGeom>
                </pic:spPr>
              </pic:pic>
            </a:graphicData>
          </a:graphic>
          <wp14:sizeRelH relativeFrom="margin">
            <wp14:pctWidth>0</wp14:pctWidth>
          </wp14:sizeRelH>
          <wp14:sizeRelV relativeFrom="margin">
            <wp14:pctHeight>0</wp14:pctHeight>
          </wp14:sizeRelV>
        </wp:anchor>
      </w:drawing>
    </w:r>
    <w:r w:rsidR="00E97E77">
      <w:rPr>
        <w:noProof/>
        <w:lang w:eastAsia="en-GB"/>
      </w:rPr>
      <w:drawing>
        <wp:anchor distT="0" distB="0" distL="114300" distR="114300" simplePos="0" relativeHeight="251656192" behindDoc="1" locked="0" layoutInCell="1" allowOverlap="1" wp14:anchorId="1C49DFAC" wp14:editId="6F9E2B07">
          <wp:simplePos x="0" y="0"/>
          <wp:positionH relativeFrom="page">
            <wp:posOffset>0</wp:posOffset>
          </wp:positionH>
          <wp:positionV relativeFrom="page">
            <wp:posOffset>3769995</wp:posOffset>
          </wp:positionV>
          <wp:extent cx="7545240" cy="66376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ht-blue-Lines.png"/>
                  <pic:cNvPicPr/>
                </pic:nvPicPr>
                <pic:blipFill>
                  <a:blip r:embed="rId2" cstate="print">
                    <a:extLst>
                      <a:ext uri="{28A0092B-C50C-407E-A947-70E740481C1C}">
                        <a14:useLocalDpi xmlns:a14="http://schemas.microsoft.com/office/drawing/2010/main"/>
                      </a:ext>
                    </a:extLst>
                  </a:blip>
                  <a:stretch>
                    <a:fillRect/>
                  </a:stretch>
                </pic:blipFill>
                <pic:spPr>
                  <a:xfrm>
                    <a:off x="0" y="0"/>
                    <a:ext cx="7545240" cy="66376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6" w:type="dxa"/>
      <w:tblInd w:w="-1304" w:type="dxa"/>
      <w:tblBorders>
        <w:bottom w:val="single" w:sz="4" w:space="0" w:color="auto"/>
      </w:tblBorders>
      <w:tblLook w:val="04A0" w:firstRow="1" w:lastRow="0" w:firstColumn="1" w:lastColumn="0" w:noHBand="0" w:noVBand="1"/>
    </w:tblPr>
    <w:tblGrid>
      <w:gridCol w:w="2098"/>
      <w:gridCol w:w="8108"/>
    </w:tblGrid>
    <w:tr w:rsidR="00056734" w:rsidRPr="008E7665" w:rsidTr="00D27265">
      <w:trPr>
        <w:trHeight w:hRule="exact" w:val="340"/>
      </w:trPr>
      <w:tc>
        <w:tcPr>
          <w:tcW w:w="2098" w:type="dxa"/>
        </w:tcPr>
        <w:p w:rsidR="00056734" w:rsidRPr="008E7665" w:rsidRDefault="00056734">
          <w:pPr>
            <w:pStyle w:val="Header"/>
            <w:rPr>
              <w:sz w:val="14"/>
              <w:szCs w:val="14"/>
            </w:rPr>
          </w:pPr>
          <w:r w:rsidRPr="008E7665">
            <w:rPr>
              <w:sz w:val="14"/>
              <w:szCs w:val="14"/>
            </w:rPr>
            <w:fldChar w:fldCharType="begin"/>
          </w:r>
          <w:r w:rsidRPr="008E7665">
            <w:rPr>
              <w:sz w:val="14"/>
              <w:szCs w:val="14"/>
            </w:rPr>
            <w:instrText xml:space="preserve"> PAGE   \* MERGEFORMAT </w:instrText>
          </w:r>
          <w:r w:rsidRPr="008E7665">
            <w:rPr>
              <w:sz w:val="14"/>
              <w:szCs w:val="14"/>
            </w:rPr>
            <w:fldChar w:fldCharType="separate"/>
          </w:r>
          <w:r w:rsidR="00415A11">
            <w:rPr>
              <w:noProof/>
              <w:sz w:val="14"/>
              <w:szCs w:val="14"/>
            </w:rPr>
            <w:t>4</w:t>
          </w:r>
          <w:r w:rsidRPr="008E7665">
            <w:rPr>
              <w:sz w:val="14"/>
              <w:szCs w:val="14"/>
            </w:rPr>
            <w:fldChar w:fldCharType="end"/>
          </w:r>
        </w:p>
      </w:tc>
      <w:tc>
        <w:tcPr>
          <w:tcW w:w="8108" w:type="dxa"/>
        </w:tcPr>
        <w:sdt>
          <w:sdtPr>
            <w:rPr>
              <w:sz w:val="14"/>
            </w:rPr>
            <w:alias w:val="Title"/>
            <w:tag w:val=""/>
            <w:id w:val="-112986050"/>
            <w:dataBinding w:prefixMappings="xmlns:ns0='http://purl.org/dc/elements/1.1/' xmlns:ns1='http://schemas.openxmlformats.org/package/2006/metadata/core-properties' " w:xpath="/ns1:coreProperties[1]/ns0:title[1]" w:storeItemID="{6C3C8BC8-F283-45AE-878A-BAB7291924A1}"/>
            <w:text/>
          </w:sdtPr>
          <w:sdtEndPr/>
          <w:sdtContent>
            <w:p w:rsidR="00056734" w:rsidRPr="008E7665" w:rsidRDefault="00595351" w:rsidP="004049F4">
              <w:pPr>
                <w:pStyle w:val="Header"/>
                <w:jc w:val="right"/>
                <w:rPr>
                  <w:sz w:val="14"/>
                  <w:szCs w:val="14"/>
                </w:rPr>
              </w:pPr>
              <w:proofErr w:type="spellStart"/>
              <w:r>
                <w:rPr>
                  <w:sz w:val="14"/>
                </w:rPr>
                <w:t>Swanwick</w:t>
              </w:r>
              <w:proofErr w:type="spellEnd"/>
              <w:r>
                <w:rPr>
                  <w:sz w:val="14"/>
                </w:rPr>
                <w:t xml:space="preserve"> Airspace Improvement </w:t>
              </w:r>
              <w:proofErr w:type="spellStart"/>
              <w:r>
                <w:rPr>
                  <w:sz w:val="14"/>
                </w:rPr>
                <w:t>Proramme</w:t>
              </w:r>
              <w:proofErr w:type="spellEnd"/>
              <w:r>
                <w:rPr>
                  <w:sz w:val="14"/>
                </w:rPr>
                <w:t>: Consultation Document</w:t>
              </w:r>
            </w:p>
          </w:sdtContent>
        </w:sdt>
      </w:tc>
    </w:tr>
  </w:tbl>
  <w:p w:rsidR="00056734" w:rsidRDefault="00056734">
    <w:pPr>
      <w:pStyle w:val="Header"/>
    </w:pPr>
  </w:p>
  <w:p w:rsidR="00483CBA" w:rsidRDefault="00483CB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2" w:type="dxa"/>
      <w:tblInd w:w="7" w:type="dxa"/>
      <w:tblBorders>
        <w:bottom w:val="single" w:sz="4" w:space="0" w:color="auto"/>
      </w:tblBorders>
      <w:tblLook w:val="04A0" w:firstRow="1" w:lastRow="0" w:firstColumn="1" w:lastColumn="0" w:noHBand="0" w:noVBand="1"/>
    </w:tblPr>
    <w:tblGrid>
      <w:gridCol w:w="7137"/>
      <w:gridCol w:w="2505"/>
    </w:tblGrid>
    <w:tr w:rsidR="00056734" w:rsidRPr="008E7665" w:rsidTr="00DA77B0">
      <w:trPr>
        <w:trHeight w:hRule="exact" w:val="340"/>
      </w:trPr>
      <w:tc>
        <w:tcPr>
          <w:tcW w:w="7137" w:type="dxa"/>
        </w:tcPr>
        <w:sdt>
          <w:sdtPr>
            <w:rPr>
              <w:sz w:val="14"/>
            </w:rPr>
            <w:alias w:val="Title"/>
            <w:tag w:val=""/>
            <w:id w:val="-621620675"/>
            <w:dataBinding w:prefixMappings="xmlns:ns0='http://purl.org/dc/elements/1.1/' xmlns:ns1='http://schemas.openxmlformats.org/package/2006/metadata/core-properties' " w:xpath="/ns1:coreProperties[1]/ns0:title[1]" w:storeItemID="{6C3C8BC8-F283-45AE-878A-BAB7291924A1}"/>
            <w:text/>
          </w:sdtPr>
          <w:sdtEndPr/>
          <w:sdtContent>
            <w:p w:rsidR="00056734" w:rsidRPr="008E7665" w:rsidRDefault="00595351" w:rsidP="00805EFC">
              <w:pPr>
                <w:pStyle w:val="Header"/>
                <w:rPr>
                  <w:sz w:val="14"/>
                  <w:szCs w:val="14"/>
                </w:rPr>
              </w:pPr>
              <w:proofErr w:type="spellStart"/>
              <w:r>
                <w:rPr>
                  <w:sz w:val="14"/>
                </w:rPr>
                <w:t>Swanwick</w:t>
              </w:r>
              <w:proofErr w:type="spellEnd"/>
              <w:r>
                <w:rPr>
                  <w:sz w:val="14"/>
                </w:rPr>
                <w:t xml:space="preserve"> Airspace Improvement </w:t>
              </w:r>
              <w:proofErr w:type="spellStart"/>
              <w:r>
                <w:rPr>
                  <w:sz w:val="14"/>
                </w:rPr>
                <w:t>Proramme</w:t>
              </w:r>
              <w:proofErr w:type="spellEnd"/>
              <w:r>
                <w:rPr>
                  <w:sz w:val="14"/>
                </w:rPr>
                <w:t>: Consultation Document</w:t>
              </w:r>
            </w:p>
          </w:sdtContent>
        </w:sdt>
      </w:tc>
      <w:tc>
        <w:tcPr>
          <w:tcW w:w="2505" w:type="dxa"/>
        </w:tcPr>
        <w:p w:rsidR="00056734" w:rsidRPr="008E7665" w:rsidRDefault="00056734" w:rsidP="004049F4">
          <w:pPr>
            <w:pStyle w:val="Header"/>
            <w:jc w:val="right"/>
            <w:rPr>
              <w:sz w:val="14"/>
              <w:szCs w:val="14"/>
            </w:rPr>
          </w:pPr>
          <w:r w:rsidRPr="008E7665">
            <w:rPr>
              <w:sz w:val="14"/>
              <w:szCs w:val="14"/>
            </w:rPr>
            <w:fldChar w:fldCharType="begin"/>
          </w:r>
          <w:r w:rsidRPr="008E7665">
            <w:rPr>
              <w:sz w:val="14"/>
              <w:szCs w:val="14"/>
            </w:rPr>
            <w:instrText xml:space="preserve"> PAGE   \* MERGEFORMAT </w:instrText>
          </w:r>
          <w:r w:rsidRPr="008E7665">
            <w:rPr>
              <w:sz w:val="14"/>
              <w:szCs w:val="14"/>
            </w:rPr>
            <w:fldChar w:fldCharType="separate"/>
          </w:r>
          <w:r w:rsidR="00257377">
            <w:rPr>
              <w:noProof/>
              <w:sz w:val="14"/>
              <w:szCs w:val="14"/>
            </w:rPr>
            <w:t>5</w:t>
          </w:r>
          <w:r w:rsidRPr="008E7665">
            <w:rPr>
              <w:sz w:val="14"/>
              <w:szCs w:val="14"/>
            </w:rPr>
            <w:fldChar w:fldCharType="end"/>
          </w:r>
          <w:r w:rsidRPr="008E7665">
            <w:rPr>
              <w:sz w:val="14"/>
              <w:szCs w:val="14"/>
            </w:rPr>
            <w:t xml:space="preserve"> </w:t>
          </w:r>
        </w:p>
      </w:tc>
    </w:tr>
  </w:tbl>
  <w:p w:rsidR="00483CBA" w:rsidRDefault="00483CB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87" w:rsidRDefault="00281587">
    <w:pPr>
      <w:pStyle w:val="Header"/>
    </w:pPr>
    <w:r>
      <w:rPr>
        <w:noProof/>
        <w:lang w:eastAsia="en-GB"/>
      </w:rPr>
      <w:drawing>
        <wp:anchor distT="0" distB="0" distL="114300" distR="114300" simplePos="0" relativeHeight="251658752" behindDoc="1" locked="0" layoutInCell="1" allowOverlap="1" wp14:anchorId="64579D3B" wp14:editId="765CA61E">
          <wp:simplePos x="0" y="0"/>
          <wp:positionH relativeFrom="page">
            <wp:posOffset>68</wp:posOffset>
          </wp:positionH>
          <wp:positionV relativeFrom="page">
            <wp:posOffset>0</wp:posOffset>
          </wp:positionV>
          <wp:extent cx="7547624" cy="106808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Blue-Cvr.pdf"/>
                  <pic:cNvPicPr/>
                </pic:nvPicPr>
                <pic:blipFill>
                  <a:blip r:embed="rId1">
                    <a:extLst>
                      <a:ext uri="{28A0092B-C50C-407E-A947-70E740481C1C}">
                        <a14:useLocalDpi xmlns:a14="http://schemas.microsoft.com/office/drawing/2010/main" val="0"/>
                      </a:ext>
                    </a:extLst>
                  </a:blip>
                  <a:stretch>
                    <a:fillRect/>
                  </a:stretch>
                </pic:blipFill>
                <pic:spPr>
                  <a:xfrm>
                    <a:off x="0" y="0"/>
                    <a:ext cx="7547624" cy="10680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48A6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6283576"/>
    <w:lvl w:ilvl="0">
      <w:start w:val="1"/>
      <w:numFmt w:val="decimal"/>
      <w:lvlText w:val="%1."/>
      <w:lvlJc w:val="left"/>
      <w:pPr>
        <w:tabs>
          <w:tab w:val="num" w:pos="1800"/>
        </w:tabs>
        <w:ind w:left="1800" w:hanging="360"/>
      </w:pPr>
    </w:lvl>
  </w:abstractNum>
  <w:abstractNum w:abstractNumId="2">
    <w:nsid w:val="FFFFFF7D"/>
    <w:multiLevelType w:val="singleLevel"/>
    <w:tmpl w:val="68D05DDA"/>
    <w:lvl w:ilvl="0">
      <w:start w:val="1"/>
      <w:numFmt w:val="decimal"/>
      <w:lvlText w:val="%1."/>
      <w:lvlJc w:val="left"/>
      <w:pPr>
        <w:tabs>
          <w:tab w:val="num" w:pos="1440"/>
        </w:tabs>
        <w:ind w:left="1440" w:hanging="360"/>
      </w:pPr>
    </w:lvl>
  </w:abstractNum>
  <w:abstractNum w:abstractNumId="3">
    <w:nsid w:val="FFFFFF7E"/>
    <w:multiLevelType w:val="singleLevel"/>
    <w:tmpl w:val="D63EA63A"/>
    <w:lvl w:ilvl="0">
      <w:start w:val="1"/>
      <w:numFmt w:val="decimal"/>
      <w:lvlText w:val="%1."/>
      <w:lvlJc w:val="left"/>
      <w:pPr>
        <w:tabs>
          <w:tab w:val="num" w:pos="1080"/>
        </w:tabs>
        <w:ind w:left="1080" w:hanging="360"/>
      </w:pPr>
    </w:lvl>
  </w:abstractNum>
  <w:abstractNum w:abstractNumId="4">
    <w:nsid w:val="FFFFFF7F"/>
    <w:multiLevelType w:val="singleLevel"/>
    <w:tmpl w:val="8660B91C"/>
    <w:lvl w:ilvl="0">
      <w:start w:val="1"/>
      <w:numFmt w:val="decimal"/>
      <w:lvlText w:val="%1."/>
      <w:lvlJc w:val="left"/>
      <w:pPr>
        <w:tabs>
          <w:tab w:val="num" w:pos="720"/>
        </w:tabs>
        <w:ind w:left="720" w:hanging="360"/>
      </w:pPr>
    </w:lvl>
  </w:abstractNum>
  <w:abstractNum w:abstractNumId="5">
    <w:nsid w:val="FFFFFF80"/>
    <w:multiLevelType w:val="singleLevel"/>
    <w:tmpl w:val="0F207F2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1B496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3CAA2B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E1CC30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DD22FBE"/>
    <w:lvl w:ilvl="0">
      <w:start w:val="1"/>
      <w:numFmt w:val="decimal"/>
      <w:lvlText w:val="%1."/>
      <w:lvlJc w:val="left"/>
      <w:pPr>
        <w:tabs>
          <w:tab w:val="num" w:pos="360"/>
        </w:tabs>
        <w:ind w:left="360" w:hanging="360"/>
      </w:pPr>
    </w:lvl>
  </w:abstractNum>
  <w:abstractNum w:abstractNumId="10">
    <w:nsid w:val="FFFFFF89"/>
    <w:multiLevelType w:val="singleLevel"/>
    <w:tmpl w:val="73284842"/>
    <w:lvl w:ilvl="0">
      <w:start w:val="1"/>
      <w:numFmt w:val="bullet"/>
      <w:lvlText w:val=""/>
      <w:lvlJc w:val="left"/>
      <w:pPr>
        <w:tabs>
          <w:tab w:val="num" w:pos="360"/>
        </w:tabs>
        <w:ind w:left="360" w:hanging="360"/>
      </w:pPr>
      <w:rPr>
        <w:rFonts w:ascii="Symbol" w:hAnsi="Symbol" w:hint="default"/>
      </w:rPr>
    </w:lvl>
  </w:abstractNum>
  <w:abstractNum w:abstractNumId="11">
    <w:nsid w:val="02314518"/>
    <w:multiLevelType w:val="hybridMultilevel"/>
    <w:tmpl w:val="D91ED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0E6FD3"/>
    <w:multiLevelType w:val="hybridMultilevel"/>
    <w:tmpl w:val="64907854"/>
    <w:lvl w:ilvl="0" w:tplc="0809000F">
      <w:start w:val="1"/>
      <w:numFmt w:val="decimal"/>
      <w:lvlText w:val="%1."/>
      <w:lvlJc w:val="left"/>
      <w:pPr>
        <w:tabs>
          <w:tab w:val="num" w:pos="198"/>
        </w:tabs>
        <w:ind w:left="198" w:hanging="198"/>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46048A"/>
    <w:multiLevelType w:val="hybridMultilevel"/>
    <w:tmpl w:val="81587F3C"/>
    <w:lvl w:ilvl="0" w:tplc="58485712">
      <w:numFmt w:val="bullet"/>
      <w:lvlText w:val="•"/>
      <w:lvlJc w:val="left"/>
      <w:pPr>
        <w:ind w:left="1080" w:hanging="72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9D2267"/>
    <w:multiLevelType w:val="hybridMultilevel"/>
    <w:tmpl w:val="18A0FC52"/>
    <w:lvl w:ilvl="0" w:tplc="75ACB2D6">
      <w:start w:val="1"/>
      <w:numFmt w:val="bullet"/>
      <w:lvlText w:val=""/>
      <w:lvlJc w:val="left"/>
      <w:pPr>
        <w:tabs>
          <w:tab w:val="num" w:pos="198"/>
        </w:tabs>
        <w:ind w:left="0" w:firstLine="19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C17333"/>
    <w:multiLevelType w:val="multilevel"/>
    <w:tmpl w:val="BCCC7512"/>
    <w:styleLink w:val="NATSHeadingList"/>
    <w:lvl w:ilvl="0">
      <w:start w:val="1"/>
      <w:numFmt w:val="decimal"/>
      <w:pStyle w:val="Heading1Numbered"/>
      <w:lvlText w:val="%1."/>
      <w:lvlJc w:val="left"/>
      <w:pPr>
        <w:tabs>
          <w:tab w:val="num" w:pos="1021"/>
        </w:tabs>
        <w:ind w:left="1021" w:hanging="1021"/>
      </w:pPr>
      <w:rPr>
        <w:rFonts w:hint="default"/>
      </w:rPr>
    </w:lvl>
    <w:lvl w:ilvl="1">
      <w:start w:val="1"/>
      <w:numFmt w:val="decimal"/>
      <w:pStyle w:val="Heading2Numbered"/>
      <w:lvlText w:val="%1.%2."/>
      <w:lvlJc w:val="left"/>
      <w:pPr>
        <w:tabs>
          <w:tab w:val="num" w:pos="1021"/>
        </w:tabs>
        <w:ind w:left="1021" w:hanging="1021"/>
      </w:pPr>
      <w:rPr>
        <w:rFonts w:hint="default"/>
      </w:rPr>
    </w:lvl>
    <w:lvl w:ilvl="2">
      <w:start w:val="1"/>
      <w:numFmt w:val="decimal"/>
      <w:pStyle w:val="Heading3Numbered"/>
      <w:lvlText w:val="%1.%2.%3."/>
      <w:lvlJc w:val="left"/>
      <w:pPr>
        <w:tabs>
          <w:tab w:val="num" w:pos="1021"/>
        </w:tabs>
        <w:ind w:left="1021" w:hanging="1021"/>
      </w:pPr>
      <w:rPr>
        <w:rFonts w:hint="default"/>
      </w:rPr>
    </w:lvl>
    <w:lvl w:ilvl="3">
      <w:start w:val="1"/>
      <w:numFmt w:val="decimal"/>
      <w:pStyle w:val="Heading4Numbered"/>
      <w:lvlText w:val="%1.%2.%3.%4."/>
      <w:lvlJc w:val="left"/>
      <w:pPr>
        <w:tabs>
          <w:tab w:val="num" w:pos="1021"/>
        </w:tabs>
        <w:ind w:left="1021" w:hanging="1021"/>
      </w:pPr>
      <w:rPr>
        <w:rFonts w:hint="default"/>
      </w:rPr>
    </w:lvl>
    <w:lvl w:ilvl="4">
      <w:start w:val="1"/>
      <w:numFmt w:val="decimal"/>
      <w:pStyle w:val="Heading5Numbered"/>
      <w:lvlText w:val="%1.%2.%3.%4.%5."/>
      <w:lvlJc w:val="left"/>
      <w:pPr>
        <w:tabs>
          <w:tab w:val="num" w:pos="1021"/>
        </w:tabs>
        <w:ind w:left="1021" w:hanging="10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3F93592"/>
    <w:multiLevelType w:val="hybridMultilevel"/>
    <w:tmpl w:val="C414AE24"/>
    <w:lvl w:ilvl="0" w:tplc="8E388444">
      <w:start w:val="1"/>
      <w:numFmt w:val="bullet"/>
      <w:lvlText w:val=""/>
      <w:lvlJc w:val="left"/>
      <w:pPr>
        <w:tabs>
          <w:tab w:val="num" w:pos="198"/>
        </w:tabs>
        <w:ind w:left="198" w:hanging="19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ED2DF5"/>
    <w:multiLevelType w:val="hybridMultilevel"/>
    <w:tmpl w:val="B39A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380A64"/>
    <w:multiLevelType w:val="hybridMultilevel"/>
    <w:tmpl w:val="AB5A1346"/>
    <w:lvl w:ilvl="0" w:tplc="0809000F">
      <w:start w:val="1"/>
      <w:numFmt w:val="decimal"/>
      <w:lvlText w:val="%1."/>
      <w:lvlJc w:val="left"/>
      <w:pPr>
        <w:tabs>
          <w:tab w:val="num" w:pos="198"/>
        </w:tabs>
        <w:ind w:left="198" w:hanging="198"/>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DE4727"/>
    <w:multiLevelType w:val="multilevel"/>
    <w:tmpl w:val="CDF4A176"/>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20">
    <w:nsid w:val="3E9F27BD"/>
    <w:multiLevelType w:val="multilevel"/>
    <w:tmpl w:val="581EF876"/>
    <w:lvl w:ilvl="0">
      <w:start w:val="1"/>
      <w:numFmt w:val="bullet"/>
      <w:pStyle w:val="BulletsLevel1"/>
      <w:lvlText w:val="›"/>
      <w:lvlJc w:val="left"/>
      <w:pPr>
        <w:tabs>
          <w:tab w:val="num" w:pos="284"/>
        </w:tabs>
        <w:ind w:left="284" w:hanging="284"/>
      </w:pPr>
      <w:rPr>
        <w:rFonts w:ascii="Verdana" w:hAnsi="Verdana" w:hint="default"/>
      </w:rPr>
    </w:lvl>
    <w:lvl w:ilvl="1">
      <w:start w:val="1"/>
      <w:numFmt w:val="bullet"/>
      <w:pStyle w:val="BulletsLevel2"/>
      <w:lvlText w:val="›"/>
      <w:lvlJc w:val="left"/>
      <w:pPr>
        <w:tabs>
          <w:tab w:val="num" w:pos="568"/>
        </w:tabs>
        <w:ind w:left="568" w:hanging="284"/>
      </w:pPr>
      <w:rPr>
        <w:rFonts w:ascii="Verdana" w:hAnsi="Verdana" w:hint="default"/>
      </w:rPr>
    </w:lvl>
    <w:lvl w:ilvl="2">
      <w:start w:val="1"/>
      <w:numFmt w:val="bullet"/>
      <w:pStyle w:val="BulletsLevel3"/>
      <w:lvlText w:val="›"/>
      <w:lvlJc w:val="left"/>
      <w:pPr>
        <w:tabs>
          <w:tab w:val="num" w:pos="1021"/>
        </w:tabs>
        <w:ind w:left="1021" w:hanging="341"/>
      </w:pPr>
      <w:rPr>
        <w:rFonts w:ascii="Verdana" w:hAnsi="Verdana" w:hint="default"/>
      </w:rPr>
    </w:lvl>
    <w:lvl w:ilvl="3">
      <w:start w:val="1"/>
      <w:numFmt w:val="bullet"/>
      <w:lvlText w:val="–"/>
      <w:lvlJc w:val="left"/>
      <w:pPr>
        <w:tabs>
          <w:tab w:val="num" w:pos="1136"/>
        </w:tabs>
        <w:ind w:left="1136" w:hanging="284"/>
      </w:pPr>
      <w:rPr>
        <w:rFonts w:ascii="Franklin Gothic Book" w:hAnsi="Franklin Gothic Book" w:hint="default"/>
      </w:rPr>
    </w:lvl>
    <w:lvl w:ilvl="4">
      <w:start w:val="1"/>
      <w:numFmt w:val="bullet"/>
      <w:lvlText w:val="–"/>
      <w:lvlJc w:val="left"/>
      <w:pPr>
        <w:tabs>
          <w:tab w:val="num" w:pos="1420"/>
        </w:tabs>
        <w:ind w:left="1420" w:hanging="284"/>
      </w:pPr>
      <w:rPr>
        <w:rFonts w:ascii="Franklin Gothic Book" w:hAnsi="Franklin Gothic Book" w:hint="default"/>
      </w:rPr>
    </w:lvl>
    <w:lvl w:ilvl="5">
      <w:start w:val="1"/>
      <w:numFmt w:val="bullet"/>
      <w:lvlText w:val="–"/>
      <w:lvlJc w:val="left"/>
      <w:pPr>
        <w:tabs>
          <w:tab w:val="num" w:pos="1704"/>
        </w:tabs>
        <w:ind w:left="1704" w:hanging="284"/>
      </w:pPr>
      <w:rPr>
        <w:rFonts w:ascii="Franklin Gothic Book" w:hAnsi="Franklin Gothic Book" w:hint="default"/>
      </w:rPr>
    </w:lvl>
    <w:lvl w:ilvl="6">
      <w:start w:val="1"/>
      <w:numFmt w:val="bullet"/>
      <w:lvlText w:val="–"/>
      <w:lvlJc w:val="left"/>
      <w:pPr>
        <w:tabs>
          <w:tab w:val="num" w:pos="1988"/>
        </w:tabs>
        <w:ind w:left="1988" w:hanging="284"/>
      </w:pPr>
      <w:rPr>
        <w:rFonts w:ascii="Franklin Gothic Book" w:hAnsi="Franklin Gothic Book" w:hint="default"/>
      </w:rPr>
    </w:lvl>
    <w:lvl w:ilvl="7">
      <w:start w:val="1"/>
      <w:numFmt w:val="bullet"/>
      <w:lvlText w:val="–"/>
      <w:lvlJc w:val="left"/>
      <w:pPr>
        <w:tabs>
          <w:tab w:val="num" w:pos="2272"/>
        </w:tabs>
        <w:ind w:left="2272" w:hanging="284"/>
      </w:pPr>
      <w:rPr>
        <w:rFonts w:ascii="Franklin Gothic Book" w:hAnsi="Franklin Gothic Book" w:hint="default"/>
      </w:rPr>
    </w:lvl>
    <w:lvl w:ilvl="8">
      <w:start w:val="1"/>
      <w:numFmt w:val="bullet"/>
      <w:lvlText w:val="–"/>
      <w:lvlJc w:val="left"/>
      <w:pPr>
        <w:tabs>
          <w:tab w:val="num" w:pos="2556"/>
        </w:tabs>
        <w:ind w:left="2556" w:hanging="284"/>
      </w:pPr>
      <w:rPr>
        <w:rFonts w:ascii="Franklin Gothic Book" w:hAnsi="Franklin Gothic Book" w:hint="default"/>
      </w:rPr>
    </w:lvl>
  </w:abstractNum>
  <w:abstractNum w:abstractNumId="21">
    <w:nsid w:val="41D421EF"/>
    <w:multiLevelType w:val="hybridMultilevel"/>
    <w:tmpl w:val="CA6AC4C2"/>
    <w:lvl w:ilvl="0" w:tplc="58485712">
      <w:numFmt w:val="bullet"/>
      <w:lvlText w:val="•"/>
      <w:lvlJc w:val="left"/>
      <w:pPr>
        <w:ind w:left="1080" w:hanging="72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20543B"/>
    <w:multiLevelType w:val="hybridMultilevel"/>
    <w:tmpl w:val="3B0ED7D4"/>
    <w:lvl w:ilvl="0" w:tplc="8E388444">
      <w:start w:val="1"/>
      <w:numFmt w:val="bullet"/>
      <w:lvlText w:val=""/>
      <w:lvlJc w:val="left"/>
      <w:pPr>
        <w:tabs>
          <w:tab w:val="num" w:pos="198"/>
        </w:tabs>
        <w:ind w:left="198" w:hanging="19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0C0A1C"/>
    <w:multiLevelType w:val="hybridMultilevel"/>
    <w:tmpl w:val="FBD0288C"/>
    <w:lvl w:ilvl="0" w:tplc="6198723C">
      <w:start w:val="1"/>
      <w:numFmt w:val="decimal"/>
      <w:lvlText w:val="%1"/>
      <w:lvlJc w:val="left"/>
      <w:pPr>
        <w:tabs>
          <w:tab w:val="num" w:pos="284"/>
        </w:tabs>
        <w:ind w:left="284" w:hanging="284"/>
      </w:pPr>
      <w:rPr>
        <w:rFonts w:ascii="Verdana" w:hAnsi="Verdana" w:hint="default"/>
        <w:b w:val="0"/>
        <w:i w:val="0"/>
        <w:color w:val="auto"/>
        <w:spacing w:val="0"/>
        <w:w w:val="100"/>
        <w:position w:val="0"/>
        <w:sz w:val="17"/>
      </w:rPr>
    </w:lvl>
    <w:lvl w:ilvl="1" w:tplc="4E464D4A">
      <w:start w:val="1"/>
      <w:numFmt w:val="lowerLetter"/>
      <w:lvlText w:val="%2."/>
      <w:lvlJc w:val="left"/>
      <w:pPr>
        <w:tabs>
          <w:tab w:val="num" w:pos="198"/>
        </w:tabs>
        <w:ind w:left="198"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A072E2B"/>
    <w:multiLevelType w:val="hybridMultilevel"/>
    <w:tmpl w:val="BA5E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87314F"/>
    <w:multiLevelType w:val="hybridMultilevel"/>
    <w:tmpl w:val="DF84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4B78A8"/>
    <w:multiLevelType w:val="hybridMultilevel"/>
    <w:tmpl w:val="162CE56C"/>
    <w:lvl w:ilvl="0" w:tplc="014ACAF0">
      <w:start w:val="1"/>
      <w:numFmt w:val="decimal"/>
      <w:pStyle w:val="Numbered"/>
      <w:lvlText w:val="%1"/>
      <w:lvlJc w:val="left"/>
      <w:pPr>
        <w:tabs>
          <w:tab w:val="num" w:pos="284"/>
        </w:tabs>
        <w:ind w:left="284" w:hanging="284"/>
      </w:pPr>
      <w:rPr>
        <w:rFonts w:ascii="Verdana" w:hAnsi="Verdana" w:hint="default"/>
        <w:b w:val="0"/>
        <w:i w:val="0"/>
        <w:color w:val="auto"/>
        <w:spacing w:val="0"/>
        <w:w w:val="100"/>
        <w:position w:val="0"/>
        <w:sz w:val="18"/>
      </w:rPr>
    </w:lvl>
    <w:lvl w:ilvl="1" w:tplc="4E464D4A">
      <w:start w:val="1"/>
      <w:numFmt w:val="lowerLetter"/>
      <w:lvlText w:val="%2."/>
      <w:lvlJc w:val="left"/>
      <w:pPr>
        <w:tabs>
          <w:tab w:val="num" w:pos="198"/>
        </w:tabs>
        <w:ind w:left="198"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5F97CA2"/>
    <w:multiLevelType w:val="hybridMultilevel"/>
    <w:tmpl w:val="2EACFE40"/>
    <w:lvl w:ilvl="0" w:tplc="0809000F">
      <w:start w:val="1"/>
      <w:numFmt w:val="decimal"/>
      <w:lvlText w:val="%1."/>
      <w:lvlJc w:val="left"/>
      <w:pPr>
        <w:tabs>
          <w:tab w:val="num" w:pos="198"/>
        </w:tabs>
        <w:ind w:left="198" w:hanging="198"/>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8514FF"/>
    <w:multiLevelType w:val="hybridMultilevel"/>
    <w:tmpl w:val="4936045E"/>
    <w:lvl w:ilvl="0" w:tplc="8E388444">
      <w:start w:val="1"/>
      <w:numFmt w:val="bullet"/>
      <w:lvlText w:val=""/>
      <w:lvlJc w:val="left"/>
      <w:pPr>
        <w:tabs>
          <w:tab w:val="num" w:pos="198"/>
        </w:tabs>
        <w:ind w:left="198" w:hanging="19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5F0C0D"/>
    <w:multiLevelType w:val="multilevel"/>
    <w:tmpl w:val="20221AD0"/>
    <w:lvl w:ilvl="0">
      <w:start w:val="1"/>
      <w:numFmt w:val="bullet"/>
      <w:lvlText w:val="›"/>
      <w:lvlJc w:val="left"/>
      <w:pPr>
        <w:tabs>
          <w:tab w:val="num" w:pos="340"/>
        </w:tabs>
        <w:ind w:left="340" w:hanging="340"/>
      </w:pPr>
      <w:rPr>
        <w:rFonts w:ascii="Verdana" w:hAnsi="Verdana" w:hint="default"/>
      </w:rPr>
    </w:lvl>
    <w:lvl w:ilvl="1">
      <w:start w:val="1"/>
      <w:numFmt w:val="bullet"/>
      <w:lvlText w:val="›"/>
      <w:lvlJc w:val="left"/>
      <w:pPr>
        <w:tabs>
          <w:tab w:val="num" w:pos="680"/>
        </w:tabs>
        <w:ind w:left="680" w:hanging="340"/>
      </w:pPr>
      <w:rPr>
        <w:rFonts w:ascii="Verdana" w:hAnsi="Verdana" w:hint="default"/>
      </w:rPr>
    </w:lvl>
    <w:lvl w:ilvl="2">
      <w:start w:val="1"/>
      <w:numFmt w:val="bullet"/>
      <w:lvlText w:val="›"/>
      <w:lvlJc w:val="left"/>
      <w:pPr>
        <w:tabs>
          <w:tab w:val="num" w:pos="1020"/>
        </w:tabs>
        <w:ind w:left="1020" w:hanging="340"/>
      </w:pPr>
      <w:rPr>
        <w:rFonts w:ascii="Verdana" w:hAnsi="Verdana" w:hint="default"/>
      </w:rPr>
    </w:lvl>
    <w:lvl w:ilvl="3">
      <w:start w:val="1"/>
      <w:numFmt w:val="bullet"/>
      <w:lvlText w:val="–"/>
      <w:lvlJc w:val="left"/>
      <w:pPr>
        <w:tabs>
          <w:tab w:val="num" w:pos="1360"/>
        </w:tabs>
        <w:ind w:left="1360" w:hanging="340"/>
      </w:pPr>
      <w:rPr>
        <w:rFonts w:ascii="Franklin Gothic Book" w:hAnsi="Franklin Gothic Book" w:hint="default"/>
      </w:rPr>
    </w:lvl>
    <w:lvl w:ilvl="4">
      <w:start w:val="1"/>
      <w:numFmt w:val="bullet"/>
      <w:lvlText w:val="–"/>
      <w:lvlJc w:val="left"/>
      <w:pPr>
        <w:tabs>
          <w:tab w:val="num" w:pos="1700"/>
        </w:tabs>
        <w:ind w:left="1700" w:hanging="340"/>
      </w:pPr>
      <w:rPr>
        <w:rFonts w:ascii="Franklin Gothic Book" w:hAnsi="Franklin Gothic Book" w:hint="default"/>
      </w:rPr>
    </w:lvl>
    <w:lvl w:ilvl="5">
      <w:start w:val="1"/>
      <w:numFmt w:val="bullet"/>
      <w:lvlText w:val="–"/>
      <w:lvlJc w:val="left"/>
      <w:pPr>
        <w:tabs>
          <w:tab w:val="num" w:pos="2040"/>
        </w:tabs>
        <w:ind w:left="2040" w:hanging="340"/>
      </w:pPr>
      <w:rPr>
        <w:rFonts w:ascii="Franklin Gothic Book" w:hAnsi="Franklin Gothic Book" w:hint="default"/>
      </w:rPr>
    </w:lvl>
    <w:lvl w:ilvl="6">
      <w:start w:val="1"/>
      <w:numFmt w:val="bullet"/>
      <w:lvlText w:val="–"/>
      <w:lvlJc w:val="left"/>
      <w:pPr>
        <w:tabs>
          <w:tab w:val="num" w:pos="2380"/>
        </w:tabs>
        <w:ind w:left="2380" w:hanging="340"/>
      </w:pPr>
      <w:rPr>
        <w:rFonts w:ascii="Franklin Gothic Book" w:hAnsi="Franklin Gothic Book" w:hint="default"/>
      </w:rPr>
    </w:lvl>
    <w:lvl w:ilvl="7">
      <w:start w:val="1"/>
      <w:numFmt w:val="bullet"/>
      <w:lvlText w:val="–"/>
      <w:lvlJc w:val="left"/>
      <w:pPr>
        <w:tabs>
          <w:tab w:val="num" w:pos="2720"/>
        </w:tabs>
        <w:ind w:left="2720" w:hanging="340"/>
      </w:pPr>
      <w:rPr>
        <w:rFonts w:ascii="Franklin Gothic Book" w:hAnsi="Franklin Gothic Book" w:hint="default"/>
      </w:rPr>
    </w:lvl>
    <w:lvl w:ilvl="8">
      <w:start w:val="1"/>
      <w:numFmt w:val="bullet"/>
      <w:lvlText w:val="–"/>
      <w:lvlJc w:val="left"/>
      <w:pPr>
        <w:tabs>
          <w:tab w:val="num" w:pos="3060"/>
        </w:tabs>
        <w:ind w:left="3060" w:hanging="340"/>
      </w:pPr>
      <w:rPr>
        <w:rFonts w:ascii="Franklin Gothic Book" w:hAnsi="Franklin Gothic Book" w:hint="default"/>
      </w:rPr>
    </w:lvl>
  </w:abstractNum>
  <w:abstractNum w:abstractNumId="30">
    <w:nsid w:val="626455EC"/>
    <w:multiLevelType w:val="hybridMultilevel"/>
    <w:tmpl w:val="03589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E637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DEC40A8"/>
    <w:multiLevelType w:val="multilevel"/>
    <w:tmpl w:val="5DEC8FAA"/>
    <w:lvl w:ilvl="0">
      <w:start w:val="1"/>
      <w:numFmt w:val="decimal"/>
      <w:lvlText w:val="%1"/>
      <w:lvlJc w:val="left"/>
      <w:pPr>
        <w:ind w:left="198" w:hanging="198"/>
      </w:pPr>
      <w:rPr>
        <w:rFonts w:asciiTheme="minorHAnsi" w:hAnsiTheme="minorHAnsi" w:hint="default"/>
        <w:sz w:val="17"/>
      </w:rPr>
    </w:lvl>
    <w:lvl w:ilvl="1">
      <w:start w:val="1"/>
      <w:numFmt w:val="lowerLetter"/>
      <w:lvlText w:val="%2)"/>
      <w:lvlJc w:val="left"/>
      <w:pPr>
        <w:ind w:left="396" w:hanging="198"/>
      </w:pPr>
      <w:rPr>
        <w:rFonts w:ascii="Franklin Gothic Book" w:hAnsi="Franklin Gothic Book" w:hint="default"/>
        <w:sz w:val="22"/>
      </w:rPr>
    </w:lvl>
    <w:lvl w:ilvl="2">
      <w:start w:val="1"/>
      <w:numFmt w:val="lowerRoman"/>
      <w:lvlText w:val="%3"/>
      <w:lvlJc w:val="left"/>
      <w:pPr>
        <w:ind w:left="594" w:hanging="198"/>
      </w:pPr>
      <w:rPr>
        <w:rFonts w:ascii="Franklin Gothic Book" w:hAnsi="Franklin Gothic Book"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33">
    <w:nsid w:val="6E161A97"/>
    <w:multiLevelType w:val="multilevel"/>
    <w:tmpl w:val="A5008878"/>
    <w:lvl w:ilvl="0">
      <w:start w:val="1"/>
      <w:numFmt w:val="bullet"/>
      <w:lvlText w:val="•"/>
      <w:lvlJc w:val="left"/>
      <w:pPr>
        <w:ind w:left="340" w:hanging="340"/>
      </w:pPr>
      <w:rPr>
        <w:rFonts w:ascii="Franklin Gothic Book" w:hAnsi="Franklin Gothic Book" w:hint="default"/>
      </w:rPr>
    </w:lvl>
    <w:lvl w:ilvl="1">
      <w:start w:val="1"/>
      <w:numFmt w:val="bullet"/>
      <w:lvlText w:val="•"/>
      <w:lvlJc w:val="left"/>
      <w:pPr>
        <w:ind w:left="680" w:hanging="340"/>
      </w:pPr>
      <w:rPr>
        <w:rFonts w:ascii="Franklin Gothic Book" w:hAnsi="Franklin Gothic Book" w:hint="default"/>
      </w:rPr>
    </w:lvl>
    <w:lvl w:ilvl="2">
      <w:start w:val="1"/>
      <w:numFmt w:val="bullet"/>
      <w:lvlText w:val="•"/>
      <w:lvlJc w:val="left"/>
      <w:pPr>
        <w:ind w:left="1020" w:hanging="340"/>
      </w:pPr>
      <w:rPr>
        <w:rFonts w:ascii="Franklin Gothic Book" w:hAnsi="Franklin Gothic Book" w:hint="default"/>
      </w:rPr>
    </w:lvl>
    <w:lvl w:ilvl="3">
      <w:start w:val="1"/>
      <w:numFmt w:val="bullet"/>
      <w:lvlText w:val="•"/>
      <w:lvlJc w:val="left"/>
      <w:pPr>
        <w:ind w:left="1360" w:hanging="340"/>
      </w:pPr>
      <w:rPr>
        <w:rFonts w:ascii="Franklin Gothic Book" w:hAnsi="Franklin Gothic Book" w:hint="default"/>
      </w:rPr>
    </w:lvl>
    <w:lvl w:ilvl="4">
      <w:start w:val="1"/>
      <w:numFmt w:val="bullet"/>
      <w:lvlText w:val="•"/>
      <w:lvlJc w:val="left"/>
      <w:pPr>
        <w:ind w:left="1700" w:hanging="340"/>
      </w:pPr>
      <w:rPr>
        <w:rFonts w:ascii="Franklin Gothic Book" w:hAnsi="Franklin Gothic Book" w:hint="default"/>
      </w:rPr>
    </w:lvl>
    <w:lvl w:ilvl="5">
      <w:start w:val="1"/>
      <w:numFmt w:val="bullet"/>
      <w:lvlText w:val="•"/>
      <w:lvlJc w:val="left"/>
      <w:pPr>
        <w:ind w:left="2040" w:hanging="340"/>
      </w:pPr>
      <w:rPr>
        <w:rFonts w:ascii="Franklin Gothic Book" w:hAnsi="Franklin Gothic Book" w:hint="default"/>
      </w:rPr>
    </w:lvl>
    <w:lvl w:ilvl="6">
      <w:start w:val="1"/>
      <w:numFmt w:val="bullet"/>
      <w:lvlText w:val="•"/>
      <w:lvlJc w:val="left"/>
      <w:pPr>
        <w:ind w:left="2380" w:hanging="340"/>
      </w:pPr>
      <w:rPr>
        <w:rFonts w:ascii="Franklin Gothic Book" w:hAnsi="Franklin Gothic Book" w:hint="default"/>
      </w:rPr>
    </w:lvl>
    <w:lvl w:ilvl="7">
      <w:start w:val="1"/>
      <w:numFmt w:val="bullet"/>
      <w:lvlText w:val="•"/>
      <w:lvlJc w:val="left"/>
      <w:pPr>
        <w:ind w:left="2720" w:hanging="340"/>
      </w:pPr>
      <w:rPr>
        <w:rFonts w:ascii="Franklin Gothic Book" w:hAnsi="Franklin Gothic Book" w:hint="default"/>
      </w:rPr>
    </w:lvl>
    <w:lvl w:ilvl="8">
      <w:start w:val="1"/>
      <w:numFmt w:val="bullet"/>
      <w:lvlText w:val="•"/>
      <w:lvlJc w:val="left"/>
      <w:pPr>
        <w:ind w:left="3060" w:hanging="340"/>
      </w:pPr>
      <w:rPr>
        <w:rFonts w:ascii="Franklin Gothic Book" w:hAnsi="Franklin Gothic Book" w:hint="default"/>
      </w:rPr>
    </w:lvl>
  </w:abstractNum>
  <w:abstractNum w:abstractNumId="34">
    <w:nsid w:val="6F696DEA"/>
    <w:multiLevelType w:val="multilevel"/>
    <w:tmpl w:val="D91ED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00B199F"/>
    <w:multiLevelType w:val="hybridMultilevel"/>
    <w:tmpl w:val="413869A0"/>
    <w:lvl w:ilvl="0" w:tplc="58485712">
      <w:numFmt w:val="bullet"/>
      <w:lvlText w:val="•"/>
      <w:lvlJc w:val="left"/>
      <w:pPr>
        <w:ind w:left="1080" w:hanging="72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C26B59"/>
    <w:multiLevelType w:val="hybridMultilevel"/>
    <w:tmpl w:val="045EC9DE"/>
    <w:lvl w:ilvl="0" w:tplc="8E388444">
      <w:start w:val="1"/>
      <w:numFmt w:val="bullet"/>
      <w:lvlText w:val=""/>
      <w:lvlJc w:val="left"/>
      <w:pPr>
        <w:tabs>
          <w:tab w:val="num" w:pos="198"/>
        </w:tabs>
        <w:ind w:left="198" w:hanging="19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3"/>
  </w:num>
  <w:num w:numId="3">
    <w:abstractNumId w:val="33"/>
  </w:num>
  <w:num w:numId="4">
    <w:abstractNumId w:val="32"/>
  </w:num>
  <w:num w:numId="5">
    <w:abstractNumId w:val="20"/>
  </w:num>
  <w:num w:numId="6">
    <w:abstractNumId w:val="20"/>
  </w:num>
  <w:num w:numId="7">
    <w:abstractNumId w:val="20"/>
  </w:num>
  <w:num w:numId="8">
    <w:abstractNumId w:val="32"/>
  </w:num>
  <w:num w:numId="9">
    <w:abstractNumId w:val="30"/>
  </w:num>
  <w:num w:numId="10">
    <w:abstractNumId w:val="25"/>
  </w:num>
  <w:num w:numId="11">
    <w:abstractNumId w:val="24"/>
  </w:num>
  <w:num w:numId="12">
    <w:abstractNumId w:val="14"/>
  </w:num>
  <w:num w:numId="13">
    <w:abstractNumId w:val="28"/>
  </w:num>
  <w:num w:numId="14">
    <w:abstractNumId w:val="18"/>
  </w:num>
  <w:num w:numId="15">
    <w:abstractNumId w:val="22"/>
  </w:num>
  <w:num w:numId="16">
    <w:abstractNumId w:val="27"/>
  </w:num>
  <w:num w:numId="17">
    <w:abstractNumId w:val="16"/>
  </w:num>
  <w:num w:numId="18">
    <w:abstractNumId w:val="12"/>
  </w:num>
  <w:num w:numId="19">
    <w:abstractNumId w:val="36"/>
  </w:num>
  <w:num w:numId="20">
    <w:abstractNumId w:val="11"/>
  </w:num>
  <w:num w:numId="21">
    <w:abstractNumId w:val="34"/>
  </w:num>
  <w:num w:numId="22">
    <w:abstractNumId w:val="23"/>
  </w:num>
  <w:num w:numId="23">
    <w:abstractNumId w:val="26"/>
  </w:num>
  <w:num w:numId="24">
    <w:abstractNumId w:val="20"/>
    <w:lvlOverride w:ilvl="0">
      <w:lvl w:ilvl="0">
        <w:start w:val="1"/>
        <w:numFmt w:val="bullet"/>
        <w:pStyle w:val="BulletsLevel1"/>
        <w:lvlText w:val="&gt;"/>
        <w:lvlJc w:val="left"/>
        <w:pPr>
          <w:tabs>
            <w:tab w:val="num" w:pos="284"/>
          </w:tabs>
          <w:ind w:left="284" w:hanging="284"/>
        </w:pPr>
        <w:rPr>
          <w:rFonts w:ascii="Verdana" w:hAnsi="Verdana" w:hint="default"/>
        </w:rPr>
      </w:lvl>
    </w:lvlOverride>
    <w:lvlOverride w:ilvl="1">
      <w:lvl w:ilvl="1">
        <w:start w:val="1"/>
        <w:numFmt w:val="bullet"/>
        <w:pStyle w:val="BulletsLevel2"/>
        <w:lvlText w:val="&gt;"/>
        <w:lvlJc w:val="left"/>
        <w:pPr>
          <w:tabs>
            <w:tab w:val="num" w:pos="568"/>
          </w:tabs>
          <w:ind w:left="568" w:hanging="284"/>
        </w:pPr>
        <w:rPr>
          <w:rFonts w:ascii="Verdana" w:hAnsi="Verdana" w:hint="default"/>
        </w:rPr>
      </w:lvl>
    </w:lvlOverride>
    <w:lvlOverride w:ilvl="2">
      <w:lvl w:ilvl="2">
        <w:start w:val="1"/>
        <w:numFmt w:val="bullet"/>
        <w:pStyle w:val="BulletsLevel3"/>
        <w:lvlText w:val="&gt;"/>
        <w:lvlJc w:val="left"/>
        <w:pPr>
          <w:tabs>
            <w:tab w:val="num" w:pos="852"/>
          </w:tabs>
          <w:ind w:left="852" w:hanging="284"/>
        </w:pPr>
        <w:rPr>
          <w:rFonts w:ascii="Verdana" w:hAnsi="Verdana" w:hint="default"/>
        </w:rPr>
      </w:lvl>
    </w:lvlOverride>
    <w:lvlOverride w:ilvl="3">
      <w:lvl w:ilvl="3">
        <w:start w:val="1"/>
        <w:numFmt w:val="bullet"/>
        <w:lvlText w:val="–"/>
        <w:lvlJc w:val="left"/>
        <w:pPr>
          <w:tabs>
            <w:tab w:val="num" w:pos="1136"/>
          </w:tabs>
          <w:ind w:left="1136" w:hanging="284"/>
        </w:pPr>
        <w:rPr>
          <w:rFonts w:ascii="Franklin Gothic Book" w:hAnsi="Franklin Gothic Book" w:hint="default"/>
        </w:rPr>
      </w:lvl>
    </w:lvlOverride>
    <w:lvlOverride w:ilvl="4">
      <w:lvl w:ilvl="4">
        <w:start w:val="1"/>
        <w:numFmt w:val="bullet"/>
        <w:lvlText w:val="–"/>
        <w:lvlJc w:val="left"/>
        <w:pPr>
          <w:tabs>
            <w:tab w:val="num" w:pos="1420"/>
          </w:tabs>
          <w:ind w:left="1420" w:hanging="284"/>
        </w:pPr>
        <w:rPr>
          <w:rFonts w:ascii="Franklin Gothic Book" w:hAnsi="Franklin Gothic Book" w:hint="default"/>
        </w:rPr>
      </w:lvl>
    </w:lvlOverride>
    <w:lvlOverride w:ilvl="5">
      <w:lvl w:ilvl="5">
        <w:start w:val="1"/>
        <w:numFmt w:val="bullet"/>
        <w:lvlText w:val="–"/>
        <w:lvlJc w:val="left"/>
        <w:pPr>
          <w:tabs>
            <w:tab w:val="num" w:pos="1704"/>
          </w:tabs>
          <w:ind w:left="1704" w:hanging="284"/>
        </w:pPr>
        <w:rPr>
          <w:rFonts w:ascii="Franklin Gothic Book" w:hAnsi="Franklin Gothic Book" w:hint="default"/>
        </w:rPr>
      </w:lvl>
    </w:lvlOverride>
    <w:lvlOverride w:ilvl="6">
      <w:lvl w:ilvl="6">
        <w:start w:val="1"/>
        <w:numFmt w:val="bullet"/>
        <w:lvlText w:val="–"/>
        <w:lvlJc w:val="left"/>
        <w:pPr>
          <w:tabs>
            <w:tab w:val="num" w:pos="1988"/>
          </w:tabs>
          <w:ind w:left="1988" w:hanging="284"/>
        </w:pPr>
        <w:rPr>
          <w:rFonts w:ascii="Franklin Gothic Book" w:hAnsi="Franklin Gothic Book" w:hint="default"/>
        </w:rPr>
      </w:lvl>
    </w:lvlOverride>
    <w:lvlOverride w:ilvl="7">
      <w:lvl w:ilvl="7">
        <w:start w:val="1"/>
        <w:numFmt w:val="bullet"/>
        <w:lvlText w:val="–"/>
        <w:lvlJc w:val="left"/>
        <w:pPr>
          <w:tabs>
            <w:tab w:val="num" w:pos="2272"/>
          </w:tabs>
          <w:ind w:left="2272" w:hanging="284"/>
        </w:pPr>
        <w:rPr>
          <w:rFonts w:ascii="Franklin Gothic Book" w:hAnsi="Franklin Gothic Book" w:hint="default"/>
        </w:rPr>
      </w:lvl>
    </w:lvlOverride>
    <w:lvlOverride w:ilvl="8">
      <w:lvl w:ilvl="8">
        <w:start w:val="1"/>
        <w:numFmt w:val="bullet"/>
        <w:lvlText w:val="–"/>
        <w:lvlJc w:val="left"/>
        <w:pPr>
          <w:tabs>
            <w:tab w:val="num" w:pos="2556"/>
          </w:tabs>
          <w:ind w:left="2556" w:hanging="284"/>
        </w:pPr>
        <w:rPr>
          <w:rFonts w:ascii="Franklin Gothic Book" w:hAnsi="Franklin Gothic Book" w:hint="default"/>
        </w:rPr>
      </w:lvl>
    </w:lvlOverride>
  </w:num>
  <w:num w:numId="25">
    <w:abstractNumId w:val="29"/>
  </w:num>
  <w:num w:numId="26">
    <w:abstractNumId w:val="20"/>
    <w:lvlOverride w:ilvl="0">
      <w:lvl w:ilvl="0">
        <w:start w:val="1"/>
        <w:numFmt w:val="bullet"/>
        <w:pStyle w:val="BulletsLevel1"/>
        <w:lvlText w:val="&gt;"/>
        <w:lvlJc w:val="left"/>
        <w:pPr>
          <w:tabs>
            <w:tab w:val="num" w:pos="284"/>
          </w:tabs>
          <w:ind w:left="284" w:hanging="284"/>
        </w:pPr>
        <w:rPr>
          <w:rFonts w:ascii="Verdana" w:hAnsi="Verdana" w:hint="default"/>
        </w:rPr>
      </w:lvl>
    </w:lvlOverride>
    <w:lvlOverride w:ilvl="1">
      <w:lvl w:ilvl="1">
        <w:start w:val="1"/>
        <w:numFmt w:val="bullet"/>
        <w:pStyle w:val="BulletsLevel2"/>
        <w:lvlText w:val="›"/>
        <w:lvlJc w:val="left"/>
        <w:pPr>
          <w:tabs>
            <w:tab w:val="num" w:pos="568"/>
          </w:tabs>
          <w:ind w:left="568" w:hanging="284"/>
        </w:pPr>
        <w:rPr>
          <w:rFonts w:ascii="Verdana" w:hAnsi="Verdana" w:hint="default"/>
        </w:rPr>
      </w:lvl>
    </w:lvlOverride>
    <w:lvlOverride w:ilvl="2">
      <w:lvl w:ilvl="2">
        <w:start w:val="1"/>
        <w:numFmt w:val="bullet"/>
        <w:pStyle w:val="BulletsLevel3"/>
        <w:lvlText w:val="›"/>
        <w:lvlJc w:val="left"/>
        <w:pPr>
          <w:tabs>
            <w:tab w:val="num" w:pos="852"/>
          </w:tabs>
          <w:ind w:left="852" w:hanging="284"/>
        </w:pPr>
        <w:rPr>
          <w:rFonts w:ascii="Verdana" w:hAnsi="Verdana" w:hint="default"/>
        </w:rPr>
      </w:lvl>
    </w:lvlOverride>
    <w:lvlOverride w:ilvl="3">
      <w:lvl w:ilvl="3">
        <w:start w:val="1"/>
        <w:numFmt w:val="bullet"/>
        <w:lvlText w:val="–"/>
        <w:lvlJc w:val="left"/>
        <w:pPr>
          <w:tabs>
            <w:tab w:val="num" w:pos="1136"/>
          </w:tabs>
          <w:ind w:left="1136" w:hanging="284"/>
        </w:pPr>
        <w:rPr>
          <w:rFonts w:ascii="Franklin Gothic Book" w:hAnsi="Franklin Gothic Book" w:hint="default"/>
        </w:rPr>
      </w:lvl>
    </w:lvlOverride>
    <w:lvlOverride w:ilvl="4">
      <w:lvl w:ilvl="4">
        <w:start w:val="1"/>
        <w:numFmt w:val="bullet"/>
        <w:lvlText w:val="–"/>
        <w:lvlJc w:val="left"/>
        <w:pPr>
          <w:tabs>
            <w:tab w:val="num" w:pos="1420"/>
          </w:tabs>
          <w:ind w:left="1420" w:hanging="284"/>
        </w:pPr>
        <w:rPr>
          <w:rFonts w:ascii="Franklin Gothic Book" w:hAnsi="Franklin Gothic Book" w:hint="default"/>
        </w:rPr>
      </w:lvl>
    </w:lvlOverride>
    <w:lvlOverride w:ilvl="5">
      <w:lvl w:ilvl="5">
        <w:start w:val="1"/>
        <w:numFmt w:val="bullet"/>
        <w:lvlText w:val="–"/>
        <w:lvlJc w:val="left"/>
        <w:pPr>
          <w:tabs>
            <w:tab w:val="num" w:pos="1704"/>
          </w:tabs>
          <w:ind w:left="1704" w:hanging="284"/>
        </w:pPr>
        <w:rPr>
          <w:rFonts w:ascii="Franklin Gothic Book" w:hAnsi="Franklin Gothic Book" w:hint="default"/>
        </w:rPr>
      </w:lvl>
    </w:lvlOverride>
    <w:lvlOverride w:ilvl="6">
      <w:lvl w:ilvl="6">
        <w:start w:val="1"/>
        <w:numFmt w:val="bullet"/>
        <w:lvlText w:val="–"/>
        <w:lvlJc w:val="left"/>
        <w:pPr>
          <w:tabs>
            <w:tab w:val="num" w:pos="1988"/>
          </w:tabs>
          <w:ind w:left="1988" w:hanging="284"/>
        </w:pPr>
        <w:rPr>
          <w:rFonts w:ascii="Franklin Gothic Book" w:hAnsi="Franklin Gothic Book" w:hint="default"/>
        </w:rPr>
      </w:lvl>
    </w:lvlOverride>
    <w:lvlOverride w:ilvl="7">
      <w:lvl w:ilvl="7">
        <w:start w:val="1"/>
        <w:numFmt w:val="bullet"/>
        <w:lvlText w:val="–"/>
        <w:lvlJc w:val="left"/>
        <w:pPr>
          <w:tabs>
            <w:tab w:val="num" w:pos="2272"/>
          </w:tabs>
          <w:ind w:left="2272" w:hanging="284"/>
        </w:pPr>
        <w:rPr>
          <w:rFonts w:ascii="Franklin Gothic Book" w:hAnsi="Franklin Gothic Book" w:hint="default"/>
        </w:rPr>
      </w:lvl>
    </w:lvlOverride>
    <w:lvlOverride w:ilvl="8">
      <w:lvl w:ilvl="8">
        <w:start w:val="1"/>
        <w:numFmt w:val="bullet"/>
        <w:lvlText w:val="–"/>
        <w:lvlJc w:val="left"/>
        <w:pPr>
          <w:tabs>
            <w:tab w:val="num" w:pos="2556"/>
          </w:tabs>
          <w:ind w:left="2556" w:hanging="284"/>
        </w:pPr>
        <w:rPr>
          <w:rFonts w:ascii="Franklin Gothic Book" w:hAnsi="Franklin Gothic Book" w:hint="default"/>
        </w:rPr>
      </w:lvl>
    </w:lvlOverride>
  </w:num>
  <w:num w:numId="27">
    <w:abstractNumId w:val="20"/>
    <w:lvlOverride w:ilvl="0">
      <w:lvl w:ilvl="0">
        <w:start w:val="1"/>
        <w:numFmt w:val="bullet"/>
        <w:pStyle w:val="BulletsLevel1"/>
        <w:lvlText w:val="&gt;"/>
        <w:lvlJc w:val="left"/>
        <w:pPr>
          <w:tabs>
            <w:tab w:val="num" w:pos="284"/>
          </w:tabs>
          <w:ind w:left="284" w:hanging="284"/>
        </w:pPr>
        <w:rPr>
          <w:rFonts w:ascii="Verdana" w:hAnsi="Verdana" w:hint="default"/>
        </w:rPr>
      </w:lvl>
    </w:lvlOverride>
    <w:lvlOverride w:ilvl="1">
      <w:lvl w:ilvl="1">
        <w:start w:val="1"/>
        <w:numFmt w:val="bullet"/>
        <w:pStyle w:val="BulletsLevel2"/>
        <w:lvlText w:val="›"/>
        <w:lvlJc w:val="left"/>
        <w:pPr>
          <w:tabs>
            <w:tab w:val="num" w:pos="680"/>
          </w:tabs>
          <w:ind w:left="680" w:hanging="340"/>
        </w:pPr>
        <w:rPr>
          <w:rFonts w:ascii="Verdana" w:hAnsi="Verdana" w:hint="default"/>
        </w:rPr>
      </w:lvl>
    </w:lvlOverride>
    <w:lvlOverride w:ilvl="2">
      <w:lvl w:ilvl="2">
        <w:start w:val="1"/>
        <w:numFmt w:val="bullet"/>
        <w:pStyle w:val="BulletsLevel3"/>
        <w:lvlText w:val="›"/>
        <w:lvlJc w:val="left"/>
        <w:pPr>
          <w:tabs>
            <w:tab w:val="num" w:pos="1021"/>
          </w:tabs>
          <w:ind w:left="1021" w:hanging="341"/>
        </w:pPr>
        <w:rPr>
          <w:rFonts w:ascii="Verdana" w:hAnsi="Verdana" w:hint="default"/>
        </w:rPr>
      </w:lvl>
    </w:lvlOverride>
    <w:lvlOverride w:ilvl="3">
      <w:lvl w:ilvl="3">
        <w:start w:val="1"/>
        <w:numFmt w:val="bullet"/>
        <w:lvlText w:val="–"/>
        <w:lvlJc w:val="left"/>
        <w:pPr>
          <w:tabs>
            <w:tab w:val="num" w:pos="1136"/>
          </w:tabs>
          <w:ind w:left="1136" w:hanging="284"/>
        </w:pPr>
        <w:rPr>
          <w:rFonts w:ascii="Franklin Gothic Book" w:hAnsi="Franklin Gothic Book" w:hint="default"/>
        </w:rPr>
      </w:lvl>
    </w:lvlOverride>
    <w:lvlOverride w:ilvl="4">
      <w:lvl w:ilvl="4">
        <w:start w:val="1"/>
        <w:numFmt w:val="bullet"/>
        <w:lvlText w:val="–"/>
        <w:lvlJc w:val="left"/>
        <w:pPr>
          <w:tabs>
            <w:tab w:val="num" w:pos="1420"/>
          </w:tabs>
          <w:ind w:left="1420" w:hanging="284"/>
        </w:pPr>
        <w:rPr>
          <w:rFonts w:ascii="Franklin Gothic Book" w:hAnsi="Franklin Gothic Book" w:hint="default"/>
        </w:rPr>
      </w:lvl>
    </w:lvlOverride>
    <w:lvlOverride w:ilvl="5">
      <w:lvl w:ilvl="5">
        <w:start w:val="1"/>
        <w:numFmt w:val="bullet"/>
        <w:lvlText w:val="–"/>
        <w:lvlJc w:val="left"/>
        <w:pPr>
          <w:tabs>
            <w:tab w:val="num" w:pos="1704"/>
          </w:tabs>
          <w:ind w:left="1704" w:hanging="284"/>
        </w:pPr>
        <w:rPr>
          <w:rFonts w:ascii="Franklin Gothic Book" w:hAnsi="Franklin Gothic Book" w:hint="default"/>
        </w:rPr>
      </w:lvl>
    </w:lvlOverride>
    <w:lvlOverride w:ilvl="6">
      <w:lvl w:ilvl="6">
        <w:start w:val="1"/>
        <w:numFmt w:val="bullet"/>
        <w:lvlText w:val="–"/>
        <w:lvlJc w:val="left"/>
        <w:pPr>
          <w:tabs>
            <w:tab w:val="num" w:pos="1988"/>
          </w:tabs>
          <w:ind w:left="1988" w:hanging="284"/>
        </w:pPr>
        <w:rPr>
          <w:rFonts w:ascii="Franklin Gothic Book" w:hAnsi="Franklin Gothic Book" w:hint="default"/>
        </w:rPr>
      </w:lvl>
    </w:lvlOverride>
    <w:lvlOverride w:ilvl="7">
      <w:lvl w:ilvl="7">
        <w:start w:val="1"/>
        <w:numFmt w:val="bullet"/>
        <w:lvlText w:val="–"/>
        <w:lvlJc w:val="left"/>
        <w:pPr>
          <w:tabs>
            <w:tab w:val="num" w:pos="2272"/>
          </w:tabs>
          <w:ind w:left="2272" w:hanging="284"/>
        </w:pPr>
        <w:rPr>
          <w:rFonts w:ascii="Franklin Gothic Book" w:hAnsi="Franklin Gothic Book" w:hint="default"/>
        </w:rPr>
      </w:lvl>
    </w:lvlOverride>
    <w:lvlOverride w:ilvl="8">
      <w:lvl w:ilvl="8">
        <w:start w:val="1"/>
        <w:numFmt w:val="bullet"/>
        <w:lvlText w:val="–"/>
        <w:lvlJc w:val="left"/>
        <w:pPr>
          <w:tabs>
            <w:tab w:val="num" w:pos="2556"/>
          </w:tabs>
          <w:ind w:left="2556" w:hanging="284"/>
        </w:pPr>
        <w:rPr>
          <w:rFonts w:ascii="Franklin Gothic Book" w:hAnsi="Franklin Gothic Book" w:hint="default"/>
        </w:rPr>
      </w:lvl>
    </w:lvlOverride>
  </w:num>
  <w:num w:numId="28">
    <w:abstractNumId w:val="19"/>
  </w:num>
  <w:num w:numId="29">
    <w:abstractNumId w:val="19"/>
  </w:num>
  <w:num w:numId="30">
    <w:abstractNumId w:val="19"/>
  </w:num>
  <w:num w:numId="31">
    <w:abstractNumId w:val="19"/>
  </w:num>
  <w:num w:numId="32">
    <w:abstractNumId w:val="19"/>
  </w:num>
  <w:num w:numId="33">
    <w:abstractNumId w:val="0"/>
  </w:num>
  <w:num w:numId="34">
    <w:abstractNumId w:val="1"/>
  </w:num>
  <w:num w:numId="35">
    <w:abstractNumId w:val="2"/>
  </w:num>
  <w:num w:numId="36">
    <w:abstractNumId w:val="3"/>
  </w:num>
  <w:num w:numId="37">
    <w:abstractNumId w:val="4"/>
  </w:num>
  <w:num w:numId="38">
    <w:abstractNumId w:val="9"/>
  </w:num>
  <w:num w:numId="39">
    <w:abstractNumId w:val="5"/>
  </w:num>
  <w:num w:numId="40">
    <w:abstractNumId w:val="6"/>
  </w:num>
  <w:num w:numId="41">
    <w:abstractNumId w:val="7"/>
  </w:num>
  <w:num w:numId="42">
    <w:abstractNumId w:val="8"/>
  </w:num>
  <w:num w:numId="43">
    <w:abstractNumId w:val="10"/>
  </w:num>
  <w:num w:numId="44">
    <w:abstractNumId w:val="31"/>
  </w:num>
  <w:num w:numId="45">
    <w:abstractNumId w:val="15"/>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21"/>
  </w:num>
  <w:num w:numId="49">
    <w:abstractNumId w:val="35"/>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89"/>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8DB"/>
    <w:rsid w:val="00001AAE"/>
    <w:rsid w:val="00037E1E"/>
    <w:rsid w:val="00037F37"/>
    <w:rsid w:val="0004793C"/>
    <w:rsid w:val="00056734"/>
    <w:rsid w:val="000624AF"/>
    <w:rsid w:val="0007641E"/>
    <w:rsid w:val="00076F01"/>
    <w:rsid w:val="00091CF0"/>
    <w:rsid w:val="000B30E7"/>
    <w:rsid w:val="000C15DA"/>
    <w:rsid w:val="000E017F"/>
    <w:rsid w:val="000E6BC0"/>
    <w:rsid w:val="000F5EB2"/>
    <w:rsid w:val="0011094D"/>
    <w:rsid w:val="00127736"/>
    <w:rsid w:val="00144A0B"/>
    <w:rsid w:val="00145AD9"/>
    <w:rsid w:val="001559C1"/>
    <w:rsid w:val="00156052"/>
    <w:rsid w:val="001562CB"/>
    <w:rsid w:val="001738EA"/>
    <w:rsid w:val="0018107C"/>
    <w:rsid w:val="001840D5"/>
    <w:rsid w:val="001A46C2"/>
    <w:rsid w:val="001A4E90"/>
    <w:rsid w:val="001C1308"/>
    <w:rsid w:val="001F4D1F"/>
    <w:rsid w:val="001F5D3A"/>
    <w:rsid w:val="00207B62"/>
    <w:rsid w:val="00210261"/>
    <w:rsid w:val="00210498"/>
    <w:rsid w:val="00214828"/>
    <w:rsid w:val="0022643C"/>
    <w:rsid w:val="00254DEF"/>
    <w:rsid w:val="00255441"/>
    <w:rsid w:val="00257377"/>
    <w:rsid w:val="0025771E"/>
    <w:rsid w:val="002670C3"/>
    <w:rsid w:val="00281587"/>
    <w:rsid w:val="00291F9E"/>
    <w:rsid w:val="002B0C03"/>
    <w:rsid w:val="002C3D71"/>
    <w:rsid w:val="002C4922"/>
    <w:rsid w:val="002D3F5C"/>
    <w:rsid w:val="002F3DD9"/>
    <w:rsid w:val="00310A20"/>
    <w:rsid w:val="003124DD"/>
    <w:rsid w:val="00322357"/>
    <w:rsid w:val="00324EA3"/>
    <w:rsid w:val="00343338"/>
    <w:rsid w:val="00357E57"/>
    <w:rsid w:val="00365E83"/>
    <w:rsid w:val="00384C9C"/>
    <w:rsid w:val="00384E3E"/>
    <w:rsid w:val="003869AD"/>
    <w:rsid w:val="0039257A"/>
    <w:rsid w:val="00392BF6"/>
    <w:rsid w:val="00393118"/>
    <w:rsid w:val="003A04AD"/>
    <w:rsid w:val="003A2086"/>
    <w:rsid w:val="003A2898"/>
    <w:rsid w:val="003A7525"/>
    <w:rsid w:val="003B2105"/>
    <w:rsid w:val="003B2AEB"/>
    <w:rsid w:val="003E1010"/>
    <w:rsid w:val="003E297B"/>
    <w:rsid w:val="003F741E"/>
    <w:rsid w:val="003F7E4C"/>
    <w:rsid w:val="004049F4"/>
    <w:rsid w:val="00415A11"/>
    <w:rsid w:val="00426767"/>
    <w:rsid w:val="004462D5"/>
    <w:rsid w:val="00467DEA"/>
    <w:rsid w:val="004703CA"/>
    <w:rsid w:val="00483CBA"/>
    <w:rsid w:val="00485BB5"/>
    <w:rsid w:val="00485D9A"/>
    <w:rsid w:val="00492923"/>
    <w:rsid w:val="004945FD"/>
    <w:rsid w:val="004A1BD0"/>
    <w:rsid w:val="004A40FF"/>
    <w:rsid w:val="004A695C"/>
    <w:rsid w:val="004C4299"/>
    <w:rsid w:val="004C5173"/>
    <w:rsid w:val="004E7C5B"/>
    <w:rsid w:val="004F31C5"/>
    <w:rsid w:val="004F56B7"/>
    <w:rsid w:val="004F5F23"/>
    <w:rsid w:val="005078BD"/>
    <w:rsid w:val="005446CF"/>
    <w:rsid w:val="00547687"/>
    <w:rsid w:val="00554010"/>
    <w:rsid w:val="00557E1A"/>
    <w:rsid w:val="00557FE4"/>
    <w:rsid w:val="00561625"/>
    <w:rsid w:val="00570819"/>
    <w:rsid w:val="00575094"/>
    <w:rsid w:val="00595351"/>
    <w:rsid w:val="005A43FF"/>
    <w:rsid w:val="005B6810"/>
    <w:rsid w:val="005C3FC7"/>
    <w:rsid w:val="005C53E7"/>
    <w:rsid w:val="005E5AB5"/>
    <w:rsid w:val="005F0D0F"/>
    <w:rsid w:val="005F4593"/>
    <w:rsid w:val="005F475A"/>
    <w:rsid w:val="005F49C8"/>
    <w:rsid w:val="006110BD"/>
    <w:rsid w:val="006159D9"/>
    <w:rsid w:val="00630ACE"/>
    <w:rsid w:val="006608DB"/>
    <w:rsid w:val="00664D7D"/>
    <w:rsid w:val="00671544"/>
    <w:rsid w:val="00681148"/>
    <w:rsid w:val="00687ACA"/>
    <w:rsid w:val="00690DCE"/>
    <w:rsid w:val="00693D69"/>
    <w:rsid w:val="00694222"/>
    <w:rsid w:val="006C171E"/>
    <w:rsid w:val="006C2805"/>
    <w:rsid w:val="006C471E"/>
    <w:rsid w:val="006D730F"/>
    <w:rsid w:val="006E289C"/>
    <w:rsid w:val="006E4E47"/>
    <w:rsid w:val="006E697B"/>
    <w:rsid w:val="007051B2"/>
    <w:rsid w:val="00731F72"/>
    <w:rsid w:val="0073541B"/>
    <w:rsid w:val="00750E18"/>
    <w:rsid w:val="00756294"/>
    <w:rsid w:val="00757206"/>
    <w:rsid w:val="00757415"/>
    <w:rsid w:val="00762EE1"/>
    <w:rsid w:val="00770430"/>
    <w:rsid w:val="007B66FE"/>
    <w:rsid w:val="007C0038"/>
    <w:rsid w:val="007C0AF0"/>
    <w:rsid w:val="007C292C"/>
    <w:rsid w:val="007C40E0"/>
    <w:rsid w:val="007E0476"/>
    <w:rsid w:val="007F1CF3"/>
    <w:rsid w:val="00801B07"/>
    <w:rsid w:val="00801E81"/>
    <w:rsid w:val="008048DA"/>
    <w:rsid w:val="00805EFC"/>
    <w:rsid w:val="00810E5D"/>
    <w:rsid w:val="00812B30"/>
    <w:rsid w:val="00826AD3"/>
    <w:rsid w:val="00827281"/>
    <w:rsid w:val="00841FDE"/>
    <w:rsid w:val="008436E2"/>
    <w:rsid w:val="00844AF2"/>
    <w:rsid w:val="00845DBB"/>
    <w:rsid w:val="00852FB7"/>
    <w:rsid w:val="00854040"/>
    <w:rsid w:val="00857F85"/>
    <w:rsid w:val="00867902"/>
    <w:rsid w:val="00872962"/>
    <w:rsid w:val="00875A2F"/>
    <w:rsid w:val="00880DB6"/>
    <w:rsid w:val="00892998"/>
    <w:rsid w:val="008950D6"/>
    <w:rsid w:val="00896982"/>
    <w:rsid w:val="008A0E90"/>
    <w:rsid w:val="008A3305"/>
    <w:rsid w:val="008A7775"/>
    <w:rsid w:val="008C4AE0"/>
    <w:rsid w:val="008D0D95"/>
    <w:rsid w:val="008D4134"/>
    <w:rsid w:val="008E2103"/>
    <w:rsid w:val="008E7665"/>
    <w:rsid w:val="008F45B5"/>
    <w:rsid w:val="008F58DB"/>
    <w:rsid w:val="008F76C2"/>
    <w:rsid w:val="00900E06"/>
    <w:rsid w:val="00923A31"/>
    <w:rsid w:val="009342A0"/>
    <w:rsid w:val="00935F0B"/>
    <w:rsid w:val="00973721"/>
    <w:rsid w:val="00983BFA"/>
    <w:rsid w:val="00986806"/>
    <w:rsid w:val="00990F06"/>
    <w:rsid w:val="009A0249"/>
    <w:rsid w:val="009A1FF4"/>
    <w:rsid w:val="009A2115"/>
    <w:rsid w:val="009A3980"/>
    <w:rsid w:val="009B03FB"/>
    <w:rsid w:val="009C3602"/>
    <w:rsid w:val="009D1B21"/>
    <w:rsid w:val="009F301F"/>
    <w:rsid w:val="009F6FE0"/>
    <w:rsid w:val="00A03011"/>
    <w:rsid w:val="00A20CF8"/>
    <w:rsid w:val="00A2126F"/>
    <w:rsid w:val="00A3546E"/>
    <w:rsid w:val="00A35E4C"/>
    <w:rsid w:val="00A43A26"/>
    <w:rsid w:val="00A52903"/>
    <w:rsid w:val="00A55F47"/>
    <w:rsid w:val="00A719A3"/>
    <w:rsid w:val="00A7335B"/>
    <w:rsid w:val="00A847FB"/>
    <w:rsid w:val="00A90E3E"/>
    <w:rsid w:val="00A916ED"/>
    <w:rsid w:val="00A92B1C"/>
    <w:rsid w:val="00AA35F7"/>
    <w:rsid w:val="00AA6278"/>
    <w:rsid w:val="00AB1B90"/>
    <w:rsid w:val="00AB3D6A"/>
    <w:rsid w:val="00AC1DD8"/>
    <w:rsid w:val="00AC224D"/>
    <w:rsid w:val="00AC7EA5"/>
    <w:rsid w:val="00AF2FD8"/>
    <w:rsid w:val="00B000AF"/>
    <w:rsid w:val="00B12F03"/>
    <w:rsid w:val="00B24BA5"/>
    <w:rsid w:val="00B3372D"/>
    <w:rsid w:val="00B45F18"/>
    <w:rsid w:val="00B5048C"/>
    <w:rsid w:val="00B64CF7"/>
    <w:rsid w:val="00B82211"/>
    <w:rsid w:val="00B8223F"/>
    <w:rsid w:val="00B9078E"/>
    <w:rsid w:val="00BA74A6"/>
    <w:rsid w:val="00BB1163"/>
    <w:rsid w:val="00BB2638"/>
    <w:rsid w:val="00BC0BE1"/>
    <w:rsid w:val="00BC72C7"/>
    <w:rsid w:val="00BD7DD2"/>
    <w:rsid w:val="00BE2EDB"/>
    <w:rsid w:val="00BE7E72"/>
    <w:rsid w:val="00C022AE"/>
    <w:rsid w:val="00C122F9"/>
    <w:rsid w:val="00C22F50"/>
    <w:rsid w:val="00C23ECF"/>
    <w:rsid w:val="00C24D0E"/>
    <w:rsid w:val="00C33899"/>
    <w:rsid w:val="00C509CD"/>
    <w:rsid w:val="00C52059"/>
    <w:rsid w:val="00C551E3"/>
    <w:rsid w:val="00C628FB"/>
    <w:rsid w:val="00C641AF"/>
    <w:rsid w:val="00C71B26"/>
    <w:rsid w:val="00C728BA"/>
    <w:rsid w:val="00C737AE"/>
    <w:rsid w:val="00C77F7B"/>
    <w:rsid w:val="00C8095D"/>
    <w:rsid w:val="00C828C6"/>
    <w:rsid w:val="00C90C84"/>
    <w:rsid w:val="00C95421"/>
    <w:rsid w:val="00CA71BA"/>
    <w:rsid w:val="00CB55C5"/>
    <w:rsid w:val="00CB6689"/>
    <w:rsid w:val="00CB67ED"/>
    <w:rsid w:val="00CC5B3A"/>
    <w:rsid w:val="00CD1414"/>
    <w:rsid w:val="00CF0E49"/>
    <w:rsid w:val="00D0479A"/>
    <w:rsid w:val="00D13CCC"/>
    <w:rsid w:val="00D27265"/>
    <w:rsid w:val="00D31CFA"/>
    <w:rsid w:val="00D32340"/>
    <w:rsid w:val="00D37161"/>
    <w:rsid w:val="00D41FF6"/>
    <w:rsid w:val="00D55C13"/>
    <w:rsid w:val="00D74526"/>
    <w:rsid w:val="00D75A74"/>
    <w:rsid w:val="00D8177A"/>
    <w:rsid w:val="00D84EE4"/>
    <w:rsid w:val="00D93640"/>
    <w:rsid w:val="00DA5384"/>
    <w:rsid w:val="00DA77B0"/>
    <w:rsid w:val="00DB0D57"/>
    <w:rsid w:val="00DC28B9"/>
    <w:rsid w:val="00DC4DED"/>
    <w:rsid w:val="00DD37AD"/>
    <w:rsid w:val="00DD7118"/>
    <w:rsid w:val="00E056B5"/>
    <w:rsid w:val="00E120C5"/>
    <w:rsid w:val="00E17EE7"/>
    <w:rsid w:val="00E22B87"/>
    <w:rsid w:val="00E250C1"/>
    <w:rsid w:val="00E34A2E"/>
    <w:rsid w:val="00E44897"/>
    <w:rsid w:val="00E460B9"/>
    <w:rsid w:val="00E62EB0"/>
    <w:rsid w:val="00E63095"/>
    <w:rsid w:val="00E70418"/>
    <w:rsid w:val="00E82F4A"/>
    <w:rsid w:val="00E953D8"/>
    <w:rsid w:val="00E9628A"/>
    <w:rsid w:val="00E97E77"/>
    <w:rsid w:val="00EA6CD0"/>
    <w:rsid w:val="00EB0A4E"/>
    <w:rsid w:val="00EC0885"/>
    <w:rsid w:val="00EC145B"/>
    <w:rsid w:val="00EC27CC"/>
    <w:rsid w:val="00EC71F4"/>
    <w:rsid w:val="00EC7985"/>
    <w:rsid w:val="00EE33E2"/>
    <w:rsid w:val="00EF7071"/>
    <w:rsid w:val="00F04FD9"/>
    <w:rsid w:val="00F131E7"/>
    <w:rsid w:val="00F1333A"/>
    <w:rsid w:val="00F21214"/>
    <w:rsid w:val="00F30F7F"/>
    <w:rsid w:val="00F3363C"/>
    <w:rsid w:val="00F347C7"/>
    <w:rsid w:val="00F52647"/>
    <w:rsid w:val="00F61F82"/>
    <w:rsid w:val="00F6222C"/>
    <w:rsid w:val="00F74EE0"/>
    <w:rsid w:val="00F9651D"/>
    <w:rsid w:val="00FB1D27"/>
    <w:rsid w:val="00FD03E4"/>
    <w:rsid w:val="00FD284D"/>
    <w:rsid w:val="00FF2D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GB"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caption" w:uiPriority="35" w:qFormat="1"/>
    <w:lsdException w:name="footnote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801B07"/>
    <w:rPr>
      <w:color w:val="145569"/>
      <w:spacing w:val="-2"/>
      <w:sz w:val="22"/>
    </w:rPr>
  </w:style>
  <w:style w:type="paragraph" w:styleId="Heading1">
    <w:name w:val="heading 1"/>
    <w:basedOn w:val="Normal"/>
    <w:next w:val="Normal"/>
    <w:link w:val="Heading1Char"/>
    <w:uiPriority w:val="9"/>
    <w:qFormat/>
    <w:rsid w:val="00812B30"/>
    <w:pPr>
      <w:keepNext/>
      <w:keepLines/>
      <w:pageBreakBefore/>
      <w:framePr w:w="9265" w:h="1871" w:hRule="exact" w:wrap="around" w:vAnchor="page" w:hAnchor="margin" w:y="1022" w:anchorLock="1"/>
      <w:spacing w:line="216" w:lineRule="auto"/>
      <w:outlineLvl w:val="0"/>
    </w:pPr>
    <w:rPr>
      <w:rFonts w:eastAsiaTheme="majorEastAsia" w:cstheme="majorBidi"/>
      <w:sz w:val="48"/>
      <w:szCs w:val="28"/>
    </w:rPr>
  </w:style>
  <w:style w:type="paragraph" w:styleId="Heading2">
    <w:name w:val="heading 2"/>
    <w:basedOn w:val="Normal"/>
    <w:next w:val="Normal"/>
    <w:link w:val="Heading2Char"/>
    <w:uiPriority w:val="9"/>
    <w:qFormat/>
    <w:rsid w:val="00E22B87"/>
    <w:pPr>
      <w:keepNext/>
      <w:keepLines/>
      <w:spacing w:after="120"/>
      <w:outlineLvl w:val="1"/>
    </w:pPr>
    <w:rPr>
      <w:rFonts w:ascii="Roboto" w:eastAsiaTheme="majorEastAsia" w:hAnsi="Roboto" w:cstheme="majorBidi"/>
      <w:b/>
      <w:bCs/>
      <w:color w:val="46C3D7"/>
      <w:sz w:val="28"/>
      <w:szCs w:val="26"/>
    </w:rPr>
  </w:style>
  <w:style w:type="paragraph" w:styleId="Heading3">
    <w:name w:val="heading 3"/>
    <w:basedOn w:val="Normal"/>
    <w:next w:val="Normal"/>
    <w:link w:val="Heading3Char"/>
    <w:uiPriority w:val="9"/>
    <w:qFormat/>
    <w:rsid w:val="00762EE1"/>
    <w:pPr>
      <w:keepNext/>
      <w:keepLines/>
      <w:spacing w:after="60"/>
      <w:outlineLvl w:val="2"/>
    </w:pPr>
    <w:rPr>
      <w:rFonts w:asciiTheme="majorHAnsi" w:eastAsiaTheme="majorEastAsia" w:hAnsiTheme="majorHAnsi" w:cstheme="majorBidi"/>
      <w:b/>
      <w:bCs/>
      <w:color w:val="46C3D7"/>
      <w:sz w:val="24"/>
      <w:szCs w:val="24"/>
    </w:rPr>
  </w:style>
  <w:style w:type="paragraph" w:styleId="Heading4">
    <w:name w:val="heading 4"/>
    <w:basedOn w:val="Normal"/>
    <w:next w:val="Normal"/>
    <w:link w:val="Heading4Char"/>
    <w:uiPriority w:val="9"/>
    <w:qFormat/>
    <w:rsid w:val="00762EE1"/>
    <w:pPr>
      <w:spacing w:after="60"/>
      <w:outlineLvl w:val="3"/>
    </w:pPr>
    <w:rPr>
      <w:rFonts w:ascii="Roboto" w:hAnsi="Roboto"/>
      <w:b/>
      <w:bCs/>
      <w:color w:val="46C3D7"/>
      <w:sz w:val="24"/>
      <w:szCs w:val="24"/>
    </w:rPr>
  </w:style>
  <w:style w:type="paragraph" w:styleId="Heading5">
    <w:name w:val="heading 5"/>
    <w:basedOn w:val="Normal"/>
    <w:next w:val="Normal"/>
    <w:link w:val="Heading5Char"/>
    <w:uiPriority w:val="9"/>
    <w:qFormat/>
    <w:rsid w:val="00762EE1"/>
    <w:pPr>
      <w:spacing w:after="0"/>
      <w:outlineLvl w:val="4"/>
    </w:pPr>
    <w:rPr>
      <w:b/>
      <w:color w:val="46C3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1148"/>
    <w:tblPr>
      <w:tblCellMar>
        <w:left w:w="0" w:type="dxa"/>
        <w:right w:w="0" w:type="dxa"/>
      </w:tblCellMar>
    </w:tblPr>
  </w:style>
  <w:style w:type="paragraph" w:styleId="Header">
    <w:name w:val="header"/>
    <w:basedOn w:val="Normal"/>
    <w:link w:val="HeaderChar"/>
    <w:uiPriority w:val="99"/>
    <w:unhideWhenUsed/>
    <w:rsid w:val="002C4922"/>
    <w:pPr>
      <w:tabs>
        <w:tab w:val="center" w:pos="4513"/>
        <w:tab w:val="right" w:pos="9026"/>
      </w:tabs>
    </w:pPr>
  </w:style>
  <w:style w:type="character" w:customStyle="1" w:styleId="HeaderChar">
    <w:name w:val="Header Char"/>
    <w:basedOn w:val="DefaultParagraphFont"/>
    <w:link w:val="Header"/>
    <w:uiPriority w:val="99"/>
    <w:rsid w:val="002C4922"/>
    <w:rPr>
      <w:sz w:val="17"/>
    </w:rPr>
  </w:style>
  <w:style w:type="paragraph" w:styleId="Footer">
    <w:name w:val="footer"/>
    <w:basedOn w:val="Normal"/>
    <w:link w:val="FooterChar"/>
    <w:uiPriority w:val="99"/>
    <w:unhideWhenUsed/>
    <w:rsid w:val="008048DA"/>
    <w:pPr>
      <w:spacing w:after="0"/>
    </w:pPr>
    <w:rPr>
      <w:sz w:val="14"/>
      <w:szCs w:val="12"/>
    </w:rPr>
  </w:style>
  <w:style w:type="character" w:customStyle="1" w:styleId="FooterChar">
    <w:name w:val="Footer Char"/>
    <w:basedOn w:val="DefaultParagraphFont"/>
    <w:link w:val="Footer"/>
    <w:uiPriority w:val="99"/>
    <w:rsid w:val="008048DA"/>
    <w:rPr>
      <w:color w:val="333333" w:themeColor="text1"/>
      <w:spacing w:val="-2"/>
      <w:sz w:val="14"/>
      <w:szCs w:val="12"/>
    </w:rPr>
  </w:style>
  <w:style w:type="paragraph" w:styleId="BalloonText">
    <w:name w:val="Balloon Text"/>
    <w:basedOn w:val="Normal"/>
    <w:link w:val="BalloonTextChar"/>
    <w:uiPriority w:val="99"/>
    <w:semiHidden/>
    <w:unhideWhenUsed/>
    <w:rsid w:val="002C4922"/>
    <w:rPr>
      <w:rFonts w:ascii="Tahoma" w:hAnsi="Tahoma" w:cs="Tahoma"/>
      <w:sz w:val="16"/>
      <w:szCs w:val="16"/>
    </w:rPr>
  </w:style>
  <w:style w:type="character" w:customStyle="1" w:styleId="BalloonTextChar">
    <w:name w:val="Balloon Text Char"/>
    <w:basedOn w:val="DefaultParagraphFont"/>
    <w:link w:val="BalloonText"/>
    <w:uiPriority w:val="99"/>
    <w:semiHidden/>
    <w:rsid w:val="002C4922"/>
    <w:rPr>
      <w:rFonts w:ascii="Tahoma" w:hAnsi="Tahoma" w:cs="Tahoma"/>
      <w:sz w:val="16"/>
      <w:szCs w:val="16"/>
    </w:rPr>
  </w:style>
  <w:style w:type="paragraph" w:styleId="ListParagraph">
    <w:name w:val="List Paragraph"/>
    <w:basedOn w:val="Normal"/>
    <w:uiPriority w:val="34"/>
    <w:semiHidden/>
    <w:rsid w:val="00B64CF7"/>
    <w:pPr>
      <w:ind w:left="720"/>
      <w:contextualSpacing/>
    </w:pPr>
  </w:style>
  <w:style w:type="character" w:customStyle="1" w:styleId="BulletsLevel2Char">
    <w:name w:val="Bullets Level 2 Char"/>
    <w:basedOn w:val="DefaultParagraphFont"/>
    <w:link w:val="BulletsLevel2"/>
    <w:rsid w:val="00BE7E72"/>
    <w:rPr>
      <w:rFonts w:eastAsia="Times New Roman" w:cs="Times New Roman"/>
      <w:color w:val="333333" w:themeColor="text1"/>
      <w:spacing w:val="-2"/>
      <w:sz w:val="18"/>
      <w:szCs w:val="24"/>
    </w:rPr>
  </w:style>
  <w:style w:type="character" w:customStyle="1" w:styleId="BulletsLevel3Char">
    <w:name w:val="Bullets Level 3 Char"/>
    <w:basedOn w:val="BulletsLevel2Char"/>
    <w:link w:val="BulletsLevel3"/>
    <w:rsid w:val="00BE7E72"/>
    <w:rPr>
      <w:rFonts w:eastAsia="Times New Roman" w:cs="Times New Roman"/>
      <w:color w:val="333333" w:themeColor="text1"/>
      <w:spacing w:val="-2"/>
      <w:sz w:val="18"/>
      <w:szCs w:val="24"/>
    </w:rPr>
  </w:style>
  <w:style w:type="paragraph" w:customStyle="1" w:styleId="Numbered">
    <w:name w:val="Numbered"/>
    <w:basedOn w:val="Normal"/>
    <w:link w:val="NumberedChar"/>
    <w:qFormat/>
    <w:rsid w:val="00DC28B9"/>
    <w:pPr>
      <w:numPr>
        <w:numId w:val="23"/>
      </w:numPr>
    </w:pPr>
    <w:rPr>
      <w:rFonts w:eastAsia="Times New Roman" w:cs="Times New Roman"/>
      <w:szCs w:val="24"/>
    </w:rPr>
  </w:style>
  <w:style w:type="character" w:customStyle="1" w:styleId="NumberedChar">
    <w:name w:val="Numbered Char"/>
    <w:basedOn w:val="DefaultParagraphFont"/>
    <w:link w:val="Numbered"/>
    <w:rsid w:val="00DC28B9"/>
    <w:rPr>
      <w:rFonts w:eastAsia="Times New Roman" w:cs="Times New Roman"/>
      <w:color w:val="333333" w:themeColor="text1"/>
      <w:spacing w:val="-2"/>
      <w:szCs w:val="24"/>
    </w:rPr>
  </w:style>
  <w:style w:type="character" w:customStyle="1" w:styleId="Bold">
    <w:name w:val="Bold"/>
    <w:uiPriority w:val="1"/>
    <w:qFormat/>
    <w:rsid w:val="00690DCE"/>
    <w:rPr>
      <w:b/>
      <w:color w:val="auto"/>
    </w:rPr>
  </w:style>
  <w:style w:type="character" w:styleId="FollowedHyperlink">
    <w:name w:val="FollowedHyperlink"/>
    <w:basedOn w:val="DefaultParagraphFont"/>
    <w:rsid w:val="009A0249"/>
    <w:rPr>
      <w:color w:val="333333" w:themeColor="text1"/>
      <w:u w:val="none"/>
    </w:rPr>
  </w:style>
  <w:style w:type="character" w:styleId="Hyperlink">
    <w:name w:val="Hyperlink"/>
    <w:uiPriority w:val="99"/>
    <w:rsid w:val="009A0249"/>
    <w:rPr>
      <w:color w:val="auto"/>
      <w:u w:val="none"/>
    </w:rPr>
  </w:style>
  <w:style w:type="character" w:customStyle="1" w:styleId="Italic">
    <w:name w:val="Italic"/>
    <w:basedOn w:val="DefaultParagraphFont"/>
    <w:uiPriority w:val="1"/>
    <w:qFormat/>
    <w:rsid w:val="009A0249"/>
    <w:rPr>
      <w:i/>
    </w:rPr>
  </w:style>
  <w:style w:type="character" w:customStyle="1" w:styleId="Heading1Char">
    <w:name w:val="Heading 1 Char"/>
    <w:basedOn w:val="DefaultParagraphFont"/>
    <w:link w:val="Heading1"/>
    <w:uiPriority w:val="9"/>
    <w:rsid w:val="00812B30"/>
    <w:rPr>
      <w:rFonts w:eastAsiaTheme="majorEastAsia" w:cstheme="majorBidi"/>
      <w:color w:val="145569"/>
      <w:spacing w:val="-2"/>
      <w:sz w:val="48"/>
      <w:szCs w:val="28"/>
    </w:rPr>
  </w:style>
  <w:style w:type="paragraph" w:customStyle="1" w:styleId="BulletsLevel1">
    <w:name w:val="Bullets Level 1"/>
    <w:basedOn w:val="Normal"/>
    <w:link w:val="BulletsLevel1Char"/>
    <w:qFormat/>
    <w:rsid w:val="00AC224D"/>
    <w:pPr>
      <w:numPr>
        <w:numId w:val="7"/>
      </w:numPr>
    </w:pPr>
    <w:rPr>
      <w:rFonts w:eastAsia="Times New Roman" w:cs="Times New Roman"/>
      <w:szCs w:val="24"/>
    </w:rPr>
  </w:style>
  <w:style w:type="character" w:customStyle="1" w:styleId="BulletsLevel1Char">
    <w:name w:val="Bullets Level 1 Char"/>
    <w:basedOn w:val="DefaultParagraphFont"/>
    <w:link w:val="BulletsLevel1"/>
    <w:rsid w:val="00AC224D"/>
    <w:rPr>
      <w:rFonts w:eastAsia="Times New Roman" w:cs="Times New Roman"/>
      <w:color w:val="333333"/>
      <w:spacing w:val="-2"/>
      <w:sz w:val="18"/>
      <w:szCs w:val="24"/>
    </w:rPr>
  </w:style>
  <w:style w:type="paragraph" w:customStyle="1" w:styleId="BulletsLevel2">
    <w:name w:val="Bullets Level 2"/>
    <w:basedOn w:val="Normal"/>
    <w:link w:val="BulletsLevel2Char"/>
    <w:qFormat/>
    <w:rsid w:val="00BE7E72"/>
    <w:pPr>
      <w:numPr>
        <w:ilvl w:val="1"/>
        <w:numId w:val="7"/>
      </w:numPr>
      <w:spacing w:after="220"/>
    </w:pPr>
    <w:rPr>
      <w:rFonts w:eastAsia="Times New Roman" w:cs="Times New Roman"/>
      <w:szCs w:val="24"/>
    </w:rPr>
  </w:style>
  <w:style w:type="paragraph" w:customStyle="1" w:styleId="BulletsLevel3">
    <w:name w:val="Bullets Level 3"/>
    <w:basedOn w:val="BulletsLevel2"/>
    <w:link w:val="BulletsLevel3Char"/>
    <w:qFormat/>
    <w:rsid w:val="00BE7E72"/>
    <w:pPr>
      <w:numPr>
        <w:ilvl w:val="2"/>
      </w:numPr>
    </w:pPr>
  </w:style>
  <w:style w:type="paragraph" w:customStyle="1" w:styleId="TitleOptionLine">
    <w:name w:val="Title Option Line"/>
    <w:basedOn w:val="Title"/>
    <w:link w:val="TitleOptionLineChar"/>
    <w:qFormat/>
    <w:rsid w:val="00E17EE7"/>
    <w:rPr>
      <w:color w:val="333333" w:themeColor="text1"/>
    </w:rPr>
  </w:style>
  <w:style w:type="paragraph" w:styleId="Title">
    <w:name w:val="Title"/>
    <w:basedOn w:val="Normal"/>
    <w:next w:val="TitleOptionLine"/>
    <w:link w:val="TitleChar"/>
    <w:uiPriority w:val="10"/>
    <w:qFormat/>
    <w:rsid w:val="0018107C"/>
    <w:pPr>
      <w:spacing w:line="204" w:lineRule="auto"/>
      <w:contextualSpacing/>
    </w:pPr>
    <w:rPr>
      <w:rFonts w:ascii="Roboto Light" w:hAnsi="Roboto Light"/>
      <w:color w:val="46C3D7"/>
      <w:spacing w:val="0"/>
      <w:sz w:val="96"/>
      <w:szCs w:val="112"/>
    </w:rPr>
  </w:style>
  <w:style w:type="character" w:customStyle="1" w:styleId="TitleChar">
    <w:name w:val="Title Char"/>
    <w:basedOn w:val="DefaultParagraphFont"/>
    <w:link w:val="Title"/>
    <w:uiPriority w:val="10"/>
    <w:rsid w:val="0018107C"/>
    <w:rPr>
      <w:rFonts w:ascii="Roboto Light" w:hAnsi="Roboto Light"/>
      <w:color w:val="46C3D7"/>
      <w:sz w:val="96"/>
      <w:szCs w:val="112"/>
    </w:rPr>
  </w:style>
  <w:style w:type="paragraph" w:styleId="Subtitle">
    <w:name w:val="Subtitle"/>
    <w:basedOn w:val="Normal"/>
    <w:next w:val="Normal"/>
    <w:link w:val="SubtitleChar"/>
    <w:uiPriority w:val="11"/>
    <w:qFormat/>
    <w:rsid w:val="00547687"/>
    <w:pPr>
      <w:spacing w:before="480" w:after="120"/>
      <w:contextualSpacing/>
    </w:pPr>
    <w:rPr>
      <w:sz w:val="36"/>
      <w:szCs w:val="36"/>
    </w:rPr>
  </w:style>
  <w:style w:type="character" w:customStyle="1" w:styleId="SubtitleChar">
    <w:name w:val="Subtitle Char"/>
    <w:basedOn w:val="DefaultParagraphFont"/>
    <w:link w:val="Subtitle"/>
    <w:uiPriority w:val="11"/>
    <w:rsid w:val="00547687"/>
    <w:rPr>
      <w:color w:val="145569"/>
      <w:spacing w:val="-2"/>
      <w:sz w:val="36"/>
      <w:szCs w:val="36"/>
    </w:rPr>
  </w:style>
  <w:style w:type="character" w:customStyle="1" w:styleId="TitleOptionLineChar">
    <w:name w:val="Title Option Line Char"/>
    <w:basedOn w:val="TitleChar"/>
    <w:link w:val="TitleOptionLine"/>
    <w:rsid w:val="00E17EE7"/>
    <w:rPr>
      <w:rFonts w:ascii="Roboto Light" w:hAnsi="Roboto Light"/>
      <w:color w:val="333333" w:themeColor="text1"/>
      <w:spacing w:val="-40"/>
      <w:sz w:val="112"/>
      <w:szCs w:val="112"/>
    </w:rPr>
  </w:style>
  <w:style w:type="character" w:customStyle="1" w:styleId="Heading2Char">
    <w:name w:val="Heading 2 Char"/>
    <w:basedOn w:val="DefaultParagraphFont"/>
    <w:link w:val="Heading2"/>
    <w:uiPriority w:val="9"/>
    <w:rsid w:val="00C828C6"/>
    <w:rPr>
      <w:rFonts w:ascii="Roboto" w:eastAsiaTheme="majorEastAsia" w:hAnsi="Roboto" w:cstheme="majorBidi"/>
      <w:b/>
      <w:bCs/>
      <w:color w:val="46C3D7"/>
      <w:spacing w:val="-2"/>
      <w:sz w:val="28"/>
      <w:szCs w:val="26"/>
    </w:rPr>
  </w:style>
  <w:style w:type="paragraph" w:customStyle="1" w:styleId="Intro">
    <w:name w:val="Intro"/>
    <w:qFormat/>
    <w:rsid w:val="00C828C6"/>
    <w:pPr>
      <w:spacing w:line="228" w:lineRule="auto"/>
    </w:pPr>
    <w:rPr>
      <w:rFonts w:ascii="Roboto Light" w:eastAsiaTheme="majorEastAsia" w:hAnsi="Roboto Light" w:cstheme="majorBidi"/>
      <w:color w:val="145569"/>
      <w:spacing w:val="-2"/>
      <w:sz w:val="28"/>
      <w:szCs w:val="26"/>
    </w:rPr>
  </w:style>
  <w:style w:type="character" w:customStyle="1" w:styleId="Heading3Char">
    <w:name w:val="Heading 3 Char"/>
    <w:basedOn w:val="DefaultParagraphFont"/>
    <w:link w:val="Heading3"/>
    <w:uiPriority w:val="9"/>
    <w:rsid w:val="003E1010"/>
    <w:rPr>
      <w:rFonts w:asciiTheme="majorHAnsi" w:eastAsiaTheme="majorEastAsia" w:hAnsiTheme="majorHAnsi" w:cstheme="majorBidi"/>
      <w:b/>
      <w:bCs/>
      <w:color w:val="46C3D7"/>
      <w:spacing w:val="-2"/>
      <w:sz w:val="24"/>
      <w:szCs w:val="24"/>
    </w:rPr>
  </w:style>
  <w:style w:type="character" w:customStyle="1" w:styleId="Heading4Char">
    <w:name w:val="Heading 4 Char"/>
    <w:basedOn w:val="DefaultParagraphFont"/>
    <w:link w:val="Heading4"/>
    <w:uiPriority w:val="9"/>
    <w:rsid w:val="00C828C6"/>
    <w:rPr>
      <w:rFonts w:ascii="Roboto" w:hAnsi="Roboto"/>
      <w:b/>
      <w:bCs/>
      <w:color w:val="46C3D7"/>
      <w:spacing w:val="-2"/>
      <w:sz w:val="24"/>
      <w:szCs w:val="24"/>
    </w:rPr>
  </w:style>
  <w:style w:type="character" w:customStyle="1" w:styleId="Heading5Char">
    <w:name w:val="Heading 5 Char"/>
    <w:basedOn w:val="DefaultParagraphFont"/>
    <w:link w:val="Heading5"/>
    <w:uiPriority w:val="9"/>
    <w:rsid w:val="00C828C6"/>
    <w:rPr>
      <w:b/>
      <w:color w:val="46C3D7"/>
      <w:spacing w:val="-2"/>
    </w:rPr>
  </w:style>
  <w:style w:type="paragraph" w:styleId="TOC1">
    <w:name w:val="toc 1"/>
    <w:basedOn w:val="Normal"/>
    <w:next w:val="Normal"/>
    <w:autoRedefine/>
    <w:uiPriority w:val="39"/>
    <w:unhideWhenUsed/>
    <w:rsid w:val="0073541B"/>
    <w:pPr>
      <w:tabs>
        <w:tab w:val="right" w:pos="9072"/>
      </w:tabs>
      <w:spacing w:after="100"/>
      <w:ind w:left="567" w:hanging="567"/>
    </w:pPr>
    <w:rPr>
      <w:b/>
      <w:noProof/>
      <w:spacing w:val="0"/>
      <w:sz w:val="28"/>
    </w:rPr>
  </w:style>
  <w:style w:type="paragraph" w:styleId="TOC2">
    <w:name w:val="toc 2"/>
    <w:basedOn w:val="Normal"/>
    <w:next w:val="Normal"/>
    <w:autoRedefine/>
    <w:uiPriority w:val="39"/>
    <w:unhideWhenUsed/>
    <w:rsid w:val="00B82211"/>
    <w:pPr>
      <w:tabs>
        <w:tab w:val="right" w:pos="9072"/>
      </w:tabs>
      <w:spacing w:after="100"/>
      <w:ind w:left="1361" w:hanging="794"/>
    </w:pPr>
    <w:rPr>
      <w:bCs/>
      <w:sz w:val="28"/>
    </w:rPr>
  </w:style>
  <w:style w:type="paragraph" w:styleId="TOCHeading">
    <w:name w:val="TOC Heading"/>
    <w:next w:val="Normal"/>
    <w:uiPriority w:val="39"/>
    <w:qFormat/>
    <w:rsid w:val="00812B30"/>
    <w:pPr>
      <w:framePr w:w="9265" w:h="1871" w:hRule="exact" w:wrap="around" w:vAnchor="page" w:hAnchor="margin" w:y="1022" w:anchorLock="1"/>
    </w:pPr>
    <w:rPr>
      <w:rFonts w:eastAsiaTheme="majorEastAsia" w:cstheme="majorBidi"/>
      <w:color w:val="145569"/>
      <w:spacing w:val="-2"/>
      <w:sz w:val="48"/>
      <w:szCs w:val="28"/>
    </w:rPr>
  </w:style>
  <w:style w:type="paragraph" w:customStyle="1" w:styleId="TitleSecondPage">
    <w:name w:val="Title Second Page"/>
    <w:basedOn w:val="Normal"/>
    <w:qFormat/>
    <w:rsid w:val="00983BFA"/>
    <w:pPr>
      <w:spacing w:after="360" w:line="600" w:lineRule="exact"/>
    </w:pPr>
    <w:rPr>
      <w:rFonts w:ascii="Roboto Light" w:hAnsi="Roboto Light"/>
      <w:color w:val="46C3D7"/>
      <w:sz w:val="48"/>
      <w:szCs w:val="56"/>
    </w:rPr>
  </w:style>
  <w:style w:type="character" w:styleId="PlaceholderText">
    <w:name w:val="Placeholder Text"/>
    <w:basedOn w:val="DefaultParagraphFont"/>
    <w:uiPriority w:val="99"/>
    <w:semiHidden/>
    <w:rsid w:val="001A46C2"/>
    <w:rPr>
      <w:color w:val="808080"/>
    </w:rPr>
  </w:style>
  <w:style w:type="paragraph" w:styleId="FootnoteText">
    <w:name w:val="footnote text"/>
    <w:basedOn w:val="Normal"/>
    <w:link w:val="FootnoteTextChar"/>
    <w:uiPriority w:val="99"/>
    <w:qFormat/>
    <w:rsid w:val="0039257A"/>
    <w:pPr>
      <w:spacing w:after="0"/>
    </w:pPr>
    <w:rPr>
      <w:sz w:val="14"/>
      <w:szCs w:val="20"/>
    </w:rPr>
  </w:style>
  <w:style w:type="character" w:customStyle="1" w:styleId="FootnoteTextChar">
    <w:name w:val="Footnote Text Char"/>
    <w:basedOn w:val="DefaultParagraphFont"/>
    <w:link w:val="FootnoteText"/>
    <w:uiPriority w:val="99"/>
    <w:rsid w:val="0039257A"/>
    <w:rPr>
      <w:color w:val="333333" w:themeColor="text1"/>
      <w:spacing w:val="-2"/>
      <w:sz w:val="14"/>
      <w:szCs w:val="20"/>
    </w:rPr>
  </w:style>
  <w:style w:type="character" w:styleId="FootnoteReference">
    <w:name w:val="footnote reference"/>
    <w:basedOn w:val="DefaultParagraphFont"/>
    <w:uiPriority w:val="99"/>
    <w:qFormat/>
    <w:rsid w:val="00E17EE7"/>
    <w:rPr>
      <w:vertAlign w:val="superscript"/>
    </w:rPr>
  </w:style>
  <w:style w:type="paragraph" w:customStyle="1" w:styleId="QuoteEvenPage">
    <w:name w:val="Quote Even Page"/>
    <w:basedOn w:val="Normal"/>
    <w:qFormat/>
    <w:rsid w:val="00EA6CD0"/>
    <w:pPr>
      <w:framePr w:w="1134" w:wrap="notBeside" w:vAnchor="text" w:hAnchor="page" w:x="9640" w:y="1"/>
    </w:pPr>
    <w:rPr>
      <w:iCs/>
      <w:color w:val="0085CF" w:themeColor="accent1"/>
      <w:sz w:val="14"/>
    </w:rPr>
  </w:style>
  <w:style w:type="paragraph" w:customStyle="1" w:styleId="QuoteOddPage">
    <w:name w:val="Quote Odd Page"/>
    <w:basedOn w:val="Normal"/>
    <w:qFormat/>
    <w:rsid w:val="00EA6CD0"/>
    <w:pPr>
      <w:framePr w:w="1134" w:wrap="notBeside" w:vAnchor="text" w:hAnchor="page" w:x="1135" w:y="1"/>
    </w:pPr>
    <w:rPr>
      <w:iCs/>
      <w:color w:val="0085CF" w:themeColor="accent1"/>
      <w:sz w:val="14"/>
    </w:rPr>
  </w:style>
  <w:style w:type="table" w:customStyle="1" w:styleId="NATS01">
    <w:name w:val="NATS_01"/>
    <w:basedOn w:val="TableNormal"/>
    <w:uiPriority w:val="99"/>
    <w:rsid w:val="00D31CFA"/>
    <w:pPr>
      <w:spacing w:after="0"/>
    </w:pPr>
    <w:rPr>
      <w:sz w:val="16"/>
    </w:rPr>
    <w:tblPr>
      <w:tblBorders>
        <w:top w:val="single" w:sz="4" w:space="0" w:color="0085CF" w:themeColor="text2"/>
        <w:bottom w:val="single" w:sz="4" w:space="0" w:color="0085CF" w:themeColor="text2"/>
        <w:insideH w:val="single" w:sz="4" w:space="0" w:color="0085CF" w:themeColor="text2"/>
      </w:tblBorders>
      <w:tblCellMar>
        <w:top w:w="28" w:type="dxa"/>
        <w:left w:w="0" w:type="dxa"/>
        <w:bottom w:w="57" w:type="dxa"/>
        <w:right w:w="0" w:type="dxa"/>
      </w:tblCellMar>
    </w:tblPr>
    <w:tblStylePr w:type="firstRow">
      <w:rPr>
        <w:b/>
      </w:rPr>
      <w:tblPr/>
      <w:tcPr>
        <w:shd w:val="clear" w:color="auto" w:fill="D5EBF7" w:themeFill="accent2" w:themeFillTint="33"/>
      </w:tcPr>
    </w:tblStylePr>
    <w:tblStylePr w:type="lastRow">
      <w:rPr>
        <w:b/>
      </w:rPr>
    </w:tblStylePr>
  </w:style>
  <w:style w:type="paragraph" w:customStyle="1" w:styleId="Protectedmarking">
    <w:name w:val="Protected marking"/>
    <w:basedOn w:val="Normal"/>
    <w:qFormat/>
    <w:rsid w:val="00A55F47"/>
  </w:style>
  <w:style w:type="paragraph" w:styleId="TOC3">
    <w:name w:val="toc 3"/>
    <w:basedOn w:val="Normal"/>
    <w:next w:val="Normal"/>
    <w:autoRedefine/>
    <w:uiPriority w:val="39"/>
    <w:unhideWhenUsed/>
    <w:rsid w:val="002F3DD9"/>
    <w:pPr>
      <w:tabs>
        <w:tab w:val="left" w:pos="1441"/>
        <w:tab w:val="right" w:pos="9072"/>
      </w:tabs>
      <w:spacing w:after="100"/>
      <w:ind w:left="2268" w:hanging="907"/>
    </w:pPr>
    <w:rPr>
      <w:sz w:val="28"/>
    </w:rPr>
  </w:style>
  <w:style w:type="paragraph" w:customStyle="1" w:styleId="Photocaptions">
    <w:name w:val="Photo captions"/>
    <w:qFormat/>
    <w:rsid w:val="00690DCE"/>
    <w:pPr>
      <w:spacing w:after="360"/>
    </w:pPr>
    <w:rPr>
      <w:color w:val="46C3D7"/>
      <w:sz w:val="16"/>
      <w:szCs w:val="16"/>
    </w:rPr>
  </w:style>
  <w:style w:type="paragraph" w:styleId="TOC4">
    <w:name w:val="toc 4"/>
    <w:basedOn w:val="Normal"/>
    <w:next w:val="Normal"/>
    <w:autoRedefine/>
    <w:uiPriority w:val="39"/>
    <w:unhideWhenUsed/>
    <w:rsid w:val="003F741E"/>
    <w:pPr>
      <w:ind w:left="540"/>
    </w:pPr>
  </w:style>
  <w:style w:type="paragraph" w:styleId="TOC5">
    <w:name w:val="toc 5"/>
    <w:basedOn w:val="Normal"/>
    <w:next w:val="Normal"/>
    <w:autoRedefine/>
    <w:uiPriority w:val="39"/>
    <w:unhideWhenUsed/>
    <w:rsid w:val="003F741E"/>
    <w:pPr>
      <w:ind w:left="720"/>
    </w:pPr>
  </w:style>
  <w:style w:type="paragraph" w:styleId="TOC6">
    <w:name w:val="toc 6"/>
    <w:basedOn w:val="Normal"/>
    <w:next w:val="Normal"/>
    <w:autoRedefine/>
    <w:uiPriority w:val="39"/>
    <w:unhideWhenUsed/>
    <w:rsid w:val="003F741E"/>
    <w:pPr>
      <w:ind w:left="900"/>
    </w:pPr>
  </w:style>
  <w:style w:type="paragraph" w:styleId="TOC7">
    <w:name w:val="toc 7"/>
    <w:basedOn w:val="Normal"/>
    <w:next w:val="Normal"/>
    <w:autoRedefine/>
    <w:uiPriority w:val="39"/>
    <w:unhideWhenUsed/>
    <w:rsid w:val="003F741E"/>
    <w:pPr>
      <w:ind w:left="1080"/>
    </w:pPr>
  </w:style>
  <w:style w:type="paragraph" w:styleId="TOC8">
    <w:name w:val="toc 8"/>
    <w:basedOn w:val="Normal"/>
    <w:next w:val="Normal"/>
    <w:autoRedefine/>
    <w:uiPriority w:val="39"/>
    <w:unhideWhenUsed/>
    <w:rsid w:val="003F741E"/>
    <w:pPr>
      <w:ind w:left="1260"/>
    </w:pPr>
  </w:style>
  <w:style w:type="paragraph" w:styleId="TOC9">
    <w:name w:val="toc 9"/>
    <w:basedOn w:val="Normal"/>
    <w:next w:val="Normal"/>
    <w:autoRedefine/>
    <w:uiPriority w:val="39"/>
    <w:unhideWhenUsed/>
    <w:rsid w:val="003F741E"/>
    <w:pPr>
      <w:ind w:left="1440"/>
    </w:pPr>
  </w:style>
  <w:style w:type="paragraph" w:customStyle="1" w:styleId="Heading1Numbered">
    <w:name w:val="Heading 1 (Numbered)"/>
    <w:basedOn w:val="Heading1"/>
    <w:next w:val="Normal"/>
    <w:qFormat/>
    <w:rsid w:val="00485BB5"/>
    <w:pPr>
      <w:framePr w:wrap="around"/>
      <w:numPr>
        <w:numId w:val="45"/>
      </w:numPr>
    </w:pPr>
  </w:style>
  <w:style w:type="paragraph" w:customStyle="1" w:styleId="Heading2Numbered">
    <w:name w:val="Heading 2 (Numbered)"/>
    <w:basedOn w:val="Heading2"/>
    <w:next w:val="Normal"/>
    <w:qFormat/>
    <w:rsid w:val="00485BB5"/>
    <w:pPr>
      <w:numPr>
        <w:ilvl w:val="1"/>
        <w:numId w:val="45"/>
      </w:numPr>
    </w:pPr>
  </w:style>
  <w:style w:type="paragraph" w:customStyle="1" w:styleId="Heading3Numbered">
    <w:name w:val="Heading 3 (Numbered)"/>
    <w:basedOn w:val="Heading3"/>
    <w:next w:val="Normal"/>
    <w:qFormat/>
    <w:rsid w:val="00801B07"/>
    <w:pPr>
      <w:numPr>
        <w:ilvl w:val="2"/>
        <w:numId w:val="45"/>
      </w:numPr>
    </w:pPr>
  </w:style>
  <w:style w:type="paragraph" w:customStyle="1" w:styleId="Heading4Numbered">
    <w:name w:val="Heading 4 (Numbered)"/>
    <w:basedOn w:val="Heading4"/>
    <w:next w:val="Normal"/>
    <w:qFormat/>
    <w:rsid w:val="00801B07"/>
    <w:pPr>
      <w:numPr>
        <w:ilvl w:val="3"/>
        <w:numId w:val="45"/>
      </w:numPr>
    </w:pPr>
  </w:style>
  <w:style w:type="paragraph" w:customStyle="1" w:styleId="Heading5Numbered">
    <w:name w:val="Heading 5 (Numbered)"/>
    <w:basedOn w:val="Heading5"/>
    <w:next w:val="Normal"/>
    <w:qFormat/>
    <w:rsid w:val="00801B07"/>
    <w:pPr>
      <w:numPr>
        <w:ilvl w:val="4"/>
        <w:numId w:val="45"/>
      </w:numPr>
    </w:pPr>
  </w:style>
  <w:style w:type="numbering" w:customStyle="1" w:styleId="NATSHeadingList">
    <w:name w:val="NATS Heading List"/>
    <w:uiPriority w:val="99"/>
    <w:rsid w:val="00812B30"/>
    <w:pPr>
      <w:numPr>
        <w:numId w:val="45"/>
      </w:numPr>
    </w:pPr>
  </w:style>
  <w:style w:type="paragraph" w:styleId="Caption">
    <w:name w:val="caption"/>
    <w:basedOn w:val="Normal"/>
    <w:next w:val="Normal"/>
    <w:uiPriority w:val="35"/>
    <w:unhideWhenUsed/>
    <w:qFormat/>
    <w:rsid w:val="00C90C84"/>
    <w:pPr>
      <w:spacing w:after="200"/>
    </w:pPr>
    <w:rPr>
      <w:b/>
      <w:bCs/>
      <w:color w:val="0085CF" w:themeColor="accent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GB"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caption" w:uiPriority="35" w:qFormat="1"/>
    <w:lsdException w:name="footnote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801B07"/>
    <w:rPr>
      <w:color w:val="145569"/>
      <w:spacing w:val="-2"/>
      <w:sz w:val="22"/>
    </w:rPr>
  </w:style>
  <w:style w:type="paragraph" w:styleId="Heading1">
    <w:name w:val="heading 1"/>
    <w:basedOn w:val="Normal"/>
    <w:next w:val="Normal"/>
    <w:link w:val="Heading1Char"/>
    <w:uiPriority w:val="9"/>
    <w:qFormat/>
    <w:rsid w:val="00812B30"/>
    <w:pPr>
      <w:keepNext/>
      <w:keepLines/>
      <w:pageBreakBefore/>
      <w:framePr w:w="9265" w:h="1871" w:hRule="exact" w:wrap="around" w:vAnchor="page" w:hAnchor="margin" w:y="1022" w:anchorLock="1"/>
      <w:spacing w:line="216" w:lineRule="auto"/>
      <w:outlineLvl w:val="0"/>
    </w:pPr>
    <w:rPr>
      <w:rFonts w:eastAsiaTheme="majorEastAsia" w:cstheme="majorBidi"/>
      <w:sz w:val="48"/>
      <w:szCs w:val="28"/>
    </w:rPr>
  </w:style>
  <w:style w:type="paragraph" w:styleId="Heading2">
    <w:name w:val="heading 2"/>
    <w:basedOn w:val="Normal"/>
    <w:next w:val="Normal"/>
    <w:link w:val="Heading2Char"/>
    <w:uiPriority w:val="9"/>
    <w:qFormat/>
    <w:rsid w:val="00E22B87"/>
    <w:pPr>
      <w:keepNext/>
      <w:keepLines/>
      <w:spacing w:after="120"/>
      <w:outlineLvl w:val="1"/>
    </w:pPr>
    <w:rPr>
      <w:rFonts w:ascii="Roboto" w:eastAsiaTheme="majorEastAsia" w:hAnsi="Roboto" w:cstheme="majorBidi"/>
      <w:b/>
      <w:bCs/>
      <w:color w:val="46C3D7"/>
      <w:sz w:val="28"/>
      <w:szCs w:val="26"/>
    </w:rPr>
  </w:style>
  <w:style w:type="paragraph" w:styleId="Heading3">
    <w:name w:val="heading 3"/>
    <w:basedOn w:val="Normal"/>
    <w:next w:val="Normal"/>
    <w:link w:val="Heading3Char"/>
    <w:uiPriority w:val="9"/>
    <w:qFormat/>
    <w:rsid w:val="00762EE1"/>
    <w:pPr>
      <w:keepNext/>
      <w:keepLines/>
      <w:spacing w:after="60"/>
      <w:outlineLvl w:val="2"/>
    </w:pPr>
    <w:rPr>
      <w:rFonts w:asciiTheme="majorHAnsi" w:eastAsiaTheme="majorEastAsia" w:hAnsiTheme="majorHAnsi" w:cstheme="majorBidi"/>
      <w:b/>
      <w:bCs/>
      <w:color w:val="46C3D7"/>
      <w:sz w:val="24"/>
      <w:szCs w:val="24"/>
    </w:rPr>
  </w:style>
  <w:style w:type="paragraph" w:styleId="Heading4">
    <w:name w:val="heading 4"/>
    <w:basedOn w:val="Normal"/>
    <w:next w:val="Normal"/>
    <w:link w:val="Heading4Char"/>
    <w:uiPriority w:val="9"/>
    <w:qFormat/>
    <w:rsid w:val="00762EE1"/>
    <w:pPr>
      <w:spacing w:after="60"/>
      <w:outlineLvl w:val="3"/>
    </w:pPr>
    <w:rPr>
      <w:rFonts w:ascii="Roboto" w:hAnsi="Roboto"/>
      <w:b/>
      <w:bCs/>
      <w:color w:val="46C3D7"/>
      <w:sz w:val="24"/>
      <w:szCs w:val="24"/>
    </w:rPr>
  </w:style>
  <w:style w:type="paragraph" w:styleId="Heading5">
    <w:name w:val="heading 5"/>
    <w:basedOn w:val="Normal"/>
    <w:next w:val="Normal"/>
    <w:link w:val="Heading5Char"/>
    <w:uiPriority w:val="9"/>
    <w:qFormat/>
    <w:rsid w:val="00762EE1"/>
    <w:pPr>
      <w:spacing w:after="0"/>
      <w:outlineLvl w:val="4"/>
    </w:pPr>
    <w:rPr>
      <w:b/>
      <w:color w:val="46C3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1148"/>
    <w:tblPr>
      <w:tblCellMar>
        <w:left w:w="0" w:type="dxa"/>
        <w:right w:w="0" w:type="dxa"/>
      </w:tblCellMar>
    </w:tblPr>
  </w:style>
  <w:style w:type="paragraph" w:styleId="Header">
    <w:name w:val="header"/>
    <w:basedOn w:val="Normal"/>
    <w:link w:val="HeaderChar"/>
    <w:uiPriority w:val="99"/>
    <w:unhideWhenUsed/>
    <w:rsid w:val="002C4922"/>
    <w:pPr>
      <w:tabs>
        <w:tab w:val="center" w:pos="4513"/>
        <w:tab w:val="right" w:pos="9026"/>
      </w:tabs>
    </w:pPr>
  </w:style>
  <w:style w:type="character" w:customStyle="1" w:styleId="HeaderChar">
    <w:name w:val="Header Char"/>
    <w:basedOn w:val="DefaultParagraphFont"/>
    <w:link w:val="Header"/>
    <w:uiPriority w:val="99"/>
    <w:rsid w:val="002C4922"/>
    <w:rPr>
      <w:sz w:val="17"/>
    </w:rPr>
  </w:style>
  <w:style w:type="paragraph" w:styleId="Footer">
    <w:name w:val="footer"/>
    <w:basedOn w:val="Normal"/>
    <w:link w:val="FooterChar"/>
    <w:uiPriority w:val="99"/>
    <w:unhideWhenUsed/>
    <w:rsid w:val="008048DA"/>
    <w:pPr>
      <w:spacing w:after="0"/>
    </w:pPr>
    <w:rPr>
      <w:sz w:val="14"/>
      <w:szCs w:val="12"/>
    </w:rPr>
  </w:style>
  <w:style w:type="character" w:customStyle="1" w:styleId="FooterChar">
    <w:name w:val="Footer Char"/>
    <w:basedOn w:val="DefaultParagraphFont"/>
    <w:link w:val="Footer"/>
    <w:uiPriority w:val="99"/>
    <w:rsid w:val="008048DA"/>
    <w:rPr>
      <w:color w:val="333333" w:themeColor="text1"/>
      <w:spacing w:val="-2"/>
      <w:sz w:val="14"/>
      <w:szCs w:val="12"/>
    </w:rPr>
  </w:style>
  <w:style w:type="paragraph" w:styleId="BalloonText">
    <w:name w:val="Balloon Text"/>
    <w:basedOn w:val="Normal"/>
    <w:link w:val="BalloonTextChar"/>
    <w:uiPriority w:val="99"/>
    <w:semiHidden/>
    <w:unhideWhenUsed/>
    <w:rsid w:val="002C4922"/>
    <w:rPr>
      <w:rFonts w:ascii="Tahoma" w:hAnsi="Tahoma" w:cs="Tahoma"/>
      <w:sz w:val="16"/>
      <w:szCs w:val="16"/>
    </w:rPr>
  </w:style>
  <w:style w:type="character" w:customStyle="1" w:styleId="BalloonTextChar">
    <w:name w:val="Balloon Text Char"/>
    <w:basedOn w:val="DefaultParagraphFont"/>
    <w:link w:val="BalloonText"/>
    <w:uiPriority w:val="99"/>
    <w:semiHidden/>
    <w:rsid w:val="002C4922"/>
    <w:rPr>
      <w:rFonts w:ascii="Tahoma" w:hAnsi="Tahoma" w:cs="Tahoma"/>
      <w:sz w:val="16"/>
      <w:szCs w:val="16"/>
    </w:rPr>
  </w:style>
  <w:style w:type="paragraph" w:styleId="ListParagraph">
    <w:name w:val="List Paragraph"/>
    <w:basedOn w:val="Normal"/>
    <w:uiPriority w:val="34"/>
    <w:semiHidden/>
    <w:rsid w:val="00B64CF7"/>
    <w:pPr>
      <w:ind w:left="720"/>
      <w:contextualSpacing/>
    </w:pPr>
  </w:style>
  <w:style w:type="character" w:customStyle="1" w:styleId="BulletsLevel2Char">
    <w:name w:val="Bullets Level 2 Char"/>
    <w:basedOn w:val="DefaultParagraphFont"/>
    <w:link w:val="BulletsLevel2"/>
    <w:rsid w:val="00BE7E72"/>
    <w:rPr>
      <w:rFonts w:eastAsia="Times New Roman" w:cs="Times New Roman"/>
      <w:color w:val="333333" w:themeColor="text1"/>
      <w:spacing w:val="-2"/>
      <w:sz w:val="18"/>
      <w:szCs w:val="24"/>
    </w:rPr>
  </w:style>
  <w:style w:type="character" w:customStyle="1" w:styleId="BulletsLevel3Char">
    <w:name w:val="Bullets Level 3 Char"/>
    <w:basedOn w:val="BulletsLevel2Char"/>
    <w:link w:val="BulletsLevel3"/>
    <w:rsid w:val="00BE7E72"/>
    <w:rPr>
      <w:rFonts w:eastAsia="Times New Roman" w:cs="Times New Roman"/>
      <w:color w:val="333333" w:themeColor="text1"/>
      <w:spacing w:val="-2"/>
      <w:sz w:val="18"/>
      <w:szCs w:val="24"/>
    </w:rPr>
  </w:style>
  <w:style w:type="paragraph" w:customStyle="1" w:styleId="Numbered">
    <w:name w:val="Numbered"/>
    <w:basedOn w:val="Normal"/>
    <w:link w:val="NumberedChar"/>
    <w:qFormat/>
    <w:rsid w:val="00DC28B9"/>
    <w:pPr>
      <w:numPr>
        <w:numId w:val="23"/>
      </w:numPr>
    </w:pPr>
    <w:rPr>
      <w:rFonts w:eastAsia="Times New Roman" w:cs="Times New Roman"/>
      <w:szCs w:val="24"/>
    </w:rPr>
  </w:style>
  <w:style w:type="character" w:customStyle="1" w:styleId="NumberedChar">
    <w:name w:val="Numbered Char"/>
    <w:basedOn w:val="DefaultParagraphFont"/>
    <w:link w:val="Numbered"/>
    <w:rsid w:val="00DC28B9"/>
    <w:rPr>
      <w:rFonts w:eastAsia="Times New Roman" w:cs="Times New Roman"/>
      <w:color w:val="333333" w:themeColor="text1"/>
      <w:spacing w:val="-2"/>
      <w:szCs w:val="24"/>
    </w:rPr>
  </w:style>
  <w:style w:type="character" w:customStyle="1" w:styleId="Bold">
    <w:name w:val="Bold"/>
    <w:uiPriority w:val="1"/>
    <w:qFormat/>
    <w:rsid w:val="00690DCE"/>
    <w:rPr>
      <w:b/>
      <w:color w:val="auto"/>
    </w:rPr>
  </w:style>
  <w:style w:type="character" w:styleId="FollowedHyperlink">
    <w:name w:val="FollowedHyperlink"/>
    <w:basedOn w:val="DefaultParagraphFont"/>
    <w:rsid w:val="009A0249"/>
    <w:rPr>
      <w:color w:val="333333" w:themeColor="text1"/>
      <w:u w:val="none"/>
    </w:rPr>
  </w:style>
  <w:style w:type="character" w:styleId="Hyperlink">
    <w:name w:val="Hyperlink"/>
    <w:uiPriority w:val="99"/>
    <w:rsid w:val="009A0249"/>
    <w:rPr>
      <w:color w:val="auto"/>
      <w:u w:val="none"/>
    </w:rPr>
  </w:style>
  <w:style w:type="character" w:customStyle="1" w:styleId="Italic">
    <w:name w:val="Italic"/>
    <w:basedOn w:val="DefaultParagraphFont"/>
    <w:uiPriority w:val="1"/>
    <w:qFormat/>
    <w:rsid w:val="009A0249"/>
    <w:rPr>
      <w:i/>
    </w:rPr>
  </w:style>
  <w:style w:type="character" w:customStyle="1" w:styleId="Heading1Char">
    <w:name w:val="Heading 1 Char"/>
    <w:basedOn w:val="DefaultParagraphFont"/>
    <w:link w:val="Heading1"/>
    <w:uiPriority w:val="9"/>
    <w:rsid w:val="00812B30"/>
    <w:rPr>
      <w:rFonts w:eastAsiaTheme="majorEastAsia" w:cstheme="majorBidi"/>
      <w:color w:val="145569"/>
      <w:spacing w:val="-2"/>
      <w:sz w:val="48"/>
      <w:szCs w:val="28"/>
    </w:rPr>
  </w:style>
  <w:style w:type="paragraph" w:customStyle="1" w:styleId="BulletsLevel1">
    <w:name w:val="Bullets Level 1"/>
    <w:basedOn w:val="Normal"/>
    <w:link w:val="BulletsLevel1Char"/>
    <w:qFormat/>
    <w:rsid w:val="00AC224D"/>
    <w:pPr>
      <w:numPr>
        <w:numId w:val="7"/>
      </w:numPr>
    </w:pPr>
    <w:rPr>
      <w:rFonts w:eastAsia="Times New Roman" w:cs="Times New Roman"/>
      <w:szCs w:val="24"/>
    </w:rPr>
  </w:style>
  <w:style w:type="character" w:customStyle="1" w:styleId="BulletsLevel1Char">
    <w:name w:val="Bullets Level 1 Char"/>
    <w:basedOn w:val="DefaultParagraphFont"/>
    <w:link w:val="BulletsLevel1"/>
    <w:rsid w:val="00AC224D"/>
    <w:rPr>
      <w:rFonts w:eastAsia="Times New Roman" w:cs="Times New Roman"/>
      <w:color w:val="333333"/>
      <w:spacing w:val="-2"/>
      <w:sz w:val="18"/>
      <w:szCs w:val="24"/>
    </w:rPr>
  </w:style>
  <w:style w:type="paragraph" w:customStyle="1" w:styleId="BulletsLevel2">
    <w:name w:val="Bullets Level 2"/>
    <w:basedOn w:val="Normal"/>
    <w:link w:val="BulletsLevel2Char"/>
    <w:qFormat/>
    <w:rsid w:val="00BE7E72"/>
    <w:pPr>
      <w:numPr>
        <w:ilvl w:val="1"/>
        <w:numId w:val="7"/>
      </w:numPr>
      <w:spacing w:after="220"/>
    </w:pPr>
    <w:rPr>
      <w:rFonts w:eastAsia="Times New Roman" w:cs="Times New Roman"/>
      <w:szCs w:val="24"/>
    </w:rPr>
  </w:style>
  <w:style w:type="paragraph" w:customStyle="1" w:styleId="BulletsLevel3">
    <w:name w:val="Bullets Level 3"/>
    <w:basedOn w:val="BulletsLevel2"/>
    <w:link w:val="BulletsLevel3Char"/>
    <w:qFormat/>
    <w:rsid w:val="00BE7E72"/>
    <w:pPr>
      <w:numPr>
        <w:ilvl w:val="2"/>
      </w:numPr>
    </w:pPr>
  </w:style>
  <w:style w:type="paragraph" w:customStyle="1" w:styleId="TitleOptionLine">
    <w:name w:val="Title Option Line"/>
    <w:basedOn w:val="Title"/>
    <w:link w:val="TitleOptionLineChar"/>
    <w:qFormat/>
    <w:rsid w:val="00E17EE7"/>
    <w:rPr>
      <w:color w:val="333333" w:themeColor="text1"/>
    </w:rPr>
  </w:style>
  <w:style w:type="paragraph" w:styleId="Title">
    <w:name w:val="Title"/>
    <w:basedOn w:val="Normal"/>
    <w:next w:val="TitleOptionLine"/>
    <w:link w:val="TitleChar"/>
    <w:uiPriority w:val="10"/>
    <w:qFormat/>
    <w:rsid w:val="0018107C"/>
    <w:pPr>
      <w:spacing w:line="204" w:lineRule="auto"/>
      <w:contextualSpacing/>
    </w:pPr>
    <w:rPr>
      <w:rFonts w:ascii="Roboto Light" w:hAnsi="Roboto Light"/>
      <w:color w:val="46C3D7"/>
      <w:spacing w:val="0"/>
      <w:sz w:val="96"/>
      <w:szCs w:val="112"/>
    </w:rPr>
  </w:style>
  <w:style w:type="character" w:customStyle="1" w:styleId="TitleChar">
    <w:name w:val="Title Char"/>
    <w:basedOn w:val="DefaultParagraphFont"/>
    <w:link w:val="Title"/>
    <w:uiPriority w:val="10"/>
    <w:rsid w:val="0018107C"/>
    <w:rPr>
      <w:rFonts w:ascii="Roboto Light" w:hAnsi="Roboto Light"/>
      <w:color w:val="46C3D7"/>
      <w:sz w:val="96"/>
      <w:szCs w:val="112"/>
    </w:rPr>
  </w:style>
  <w:style w:type="paragraph" w:styleId="Subtitle">
    <w:name w:val="Subtitle"/>
    <w:basedOn w:val="Normal"/>
    <w:next w:val="Normal"/>
    <w:link w:val="SubtitleChar"/>
    <w:uiPriority w:val="11"/>
    <w:qFormat/>
    <w:rsid w:val="00547687"/>
    <w:pPr>
      <w:spacing w:before="480" w:after="120"/>
      <w:contextualSpacing/>
    </w:pPr>
    <w:rPr>
      <w:sz w:val="36"/>
      <w:szCs w:val="36"/>
    </w:rPr>
  </w:style>
  <w:style w:type="character" w:customStyle="1" w:styleId="SubtitleChar">
    <w:name w:val="Subtitle Char"/>
    <w:basedOn w:val="DefaultParagraphFont"/>
    <w:link w:val="Subtitle"/>
    <w:uiPriority w:val="11"/>
    <w:rsid w:val="00547687"/>
    <w:rPr>
      <w:color w:val="145569"/>
      <w:spacing w:val="-2"/>
      <w:sz w:val="36"/>
      <w:szCs w:val="36"/>
    </w:rPr>
  </w:style>
  <w:style w:type="character" w:customStyle="1" w:styleId="TitleOptionLineChar">
    <w:name w:val="Title Option Line Char"/>
    <w:basedOn w:val="TitleChar"/>
    <w:link w:val="TitleOptionLine"/>
    <w:rsid w:val="00E17EE7"/>
    <w:rPr>
      <w:rFonts w:ascii="Roboto Light" w:hAnsi="Roboto Light"/>
      <w:color w:val="333333" w:themeColor="text1"/>
      <w:spacing w:val="-40"/>
      <w:sz w:val="112"/>
      <w:szCs w:val="112"/>
    </w:rPr>
  </w:style>
  <w:style w:type="character" w:customStyle="1" w:styleId="Heading2Char">
    <w:name w:val="Heading 2 Char"/>
    <w:basedOn w:val="DefaultParagraphFont"/>
    <w:link w:val="Heading2"/>
    <w:uiPriority w:val="9"/>
    <w:rsid w:val="00C828C6"/>
    <w:rPr>
      <w:rFonts w:ascii="Roboto" w:eastAsiaTheme="majorEastAsia" w:hAnsi="Roboto" w:cstheme="majorBidi"/>
      <w:b/>
      <w:bCs/>
      <w:color w:val="46C3D7"/>
      <w:spacing w:val="-2"/>
      <w:sz w:val="28"/>
      <w:szCs w:val="26"/>
    </w:rPr>
  </w:style>
  <w:style w:type="paragraph" w:customStyle="1" w:styleId="Intro">
    <w:name w:val="Intro"/>
    <w:qFormat/>
    <w:rsid w:val="00C828C6"/>
    <w:pPr>
      <w:spacing w:line="228" w:lineRule="auto"/>
    </w:pPr>
    <w:rPr>
      <w:rFonts w:ascii="Roboto Light" w:eastAsiaTheme="majorEastAsia" w:hAnsi="Roboto Light" w:cstheme="majorBidi"/>
      <w:color w:val="145569"/>
      <w:spacing w:val="-2"/>
      <w:sz w:val="28"/>
      <w:szCs w:val="26"/>
    </w:rPr>
  </w:style>
  <w:style w:type="character" w:customStyle="1" w:styleId="Heading3Char">
    <w:name w:val="Heading 3 Char"/>
    <w:basedOn w:val="DefaultParagraphFont"/>
    <w:link w:val="Heading3"/>
    <w:uiPriority w:val="9"/>
    <w:rsid w:val="003E1010"/>
    <w:rPr>
      <w:rFonts w:asciiTheme="majorHAnsi" w:eastAsiaTheme="majorEastAsia" w:hAnsiTheme="majorHAnsi" w:cstheme="majorBidi"/>
      <w:b/>
      <w:bCs/>
      <w:color w:val="46C3D7"/>
      <w:spacing w:val="-2"/>
      <w:sz w:val="24"/>
      <w:szCs w:val="24"/>
    </w:rPr>
  </w:style>
  <w:style w:type="character" w:customStyle="1" w:styleId="Heading4Char">
    <w:name w:val="Heading 4 Char"/>
    <w:basedOn w:val="DefaultParagraphFont"/>
    <w:link w:val="Heading4"/>
    <w:uiPriority w:val="9"/>
    <w:rsid w:val="00C828C6"/>
    <w:rPr>
      <w:rFonts w:ascii="Roboto" w:hAnsi="Roboto"/>
      <w:b/>
      <w:bCs/>
      <w:color w:val="46C3D7"/>
      <w:spacing w:val="-2"/>
      <w:sz w:val="24"/>
      <w:szCs w:val="24"/>
    </w:rPr>
  </w:style>
  <w:style w:type="character" w:customStyle="1" w:styleId="Heading5Char">
    <w:name w:val="Heading 5 Char"/>
    <w:basedOn w:val="DefaultParagraphFont"/>
    <w:link w:val="Heading5"/>
    <w:uiPriority w:val="9"/>
    <w:rsid w:val="00C828C6"/>
    <w:rPr>
      <w:b/>
      <w:color w:val="46C3D7"/>
      <w:spacing w:val="-2"/>
    </w:rPr>
  </w:style>
  <w:style w:type="paragraph" w:styleId="TOC1">
    <w:name w:val="toc 1"/>
    <w:basedOn w:val="Normal"/>
    <w:next w:val="Normal"/>
    <w:autoRedefine/>
    <w:uiPriority w:val="39"/>
    <w:unhideWhenUsed/>
    <w:rsid w:val="0073541B"/>
    <w:pPr>
      <w:tabs>
        <w:tab w:val="right" w:pos="9072"/>
      </w:tabs>
      <w:spacing w:after="100"/>
      <w:ind w:left="567" w:hanging="567"/>
    </w:pPr>
    <w:rPr>
      <w:b/>
      <w:noProof/>
      <w:spacing w:val="0"/>
      <w:sz w:val="28"/>
    </w:rPr>
  </w:style>
  <w:style w:type="paragraph" w:styleId="TOC2">
    <w:name w:val="toc 2"/>
    <w:basedOn w:val="Normal"/>
    <w:next w:val="Normal"/>
    <w:autoRedefine/>
    <w:uiPriority w:val="39"/>
    <w:unhideWhenUsed/>
    <w:rsid w:val="00B82211"/>
    <w:pPr>
      <w:tabs>
        <w:tab w:val="right" w:pos="9072"/>
      </w:tabs>
      <w:spacing w:after="100"/>
      <w:ind w:left="1361" w:hanging="794"/>
    </w:pPr>
    <w:rPr>
      <w:bCs/>
      <w:sz w:val="28"/>
    </w:rPr>
  </w:style>
  <w:style w:type="paragraph" w:styleId="TOCHeading">
    <w:name w:val="TOC Heading"/>
    <w:next w:val="Normal"/>
    <w:uiPriority w:val="39"/>
    <w:qFormat/>
    <w:rsid w:val="00812B30"/>
    <w:pPr>
      <w:framePr w:w="9265" w:h="1871" w:hRule="exact" w:wrap="around" w:vAnchor="page" w:hAnchor="margin" w:y="1022" w:anchorLock="1"/>
    </w:pPr>
    <w:rPr>
      <w:rFonts w:eastAsiaTheme="majorEastAsia" w:cstheme="majorBidi"/>
      <w:color w:val="145569"/>
      <w:spacing w:val="-2"/>
      <w:sz w:val="48"/>
      <w:szCs w:val="28"/>
    </w:rPr>
  </w:style>
  <w:style w:type="paragraph" w:customStyle="1" w:styleId="TitleSecondPage">
    <w:name w:val="Title Second Page"/>
    <w:basedOn w:val="Normal"/>
    <w:qFormat/>
    <w:rsid w:val="00983BFA"/>
    <w:pPr>
      <w:spacing w:after="360" w:line="600" w:lineRule="exact"/>
    </w:pPr>
    <w:rPr>
      <w:rFonts w:ascii="Roboto Light" w:hAnsi="Roboto Light"/>
      <w:color w:val="46C3D7"/>
      <w:sz w:val="48"/>
      <w:szCs w:val="56"/>
    </w:rPr>
  </w:style>
  <w:style w:type="character" w:styleId="PlaceholderText">
    <w:name w:val="Placeholder Text"/>
    <w:basedOn w:val="DefaultParagraphFont"/>
    <w:uiPriority w:val="99"/>
    <w:semiHidden/>
    <w:rsid w:val="001A46C2"/>
    <w:rPr>
      <w:color w:val="808080"/>
    </w:rPr>
  </w:style>
  <w:style w:type="paragraph" w:styleId="FootnoteText">
    <w:name w:val="footnote text"/>
    <w:basedOn w:val="Normal"/>
    <w:link w:val="FootnoteTextChar"/>
    <w:uiPriority w:val="99"/>
    <w:qFormat/>
    <w:rsid w:val="0039257A"/>
    <w:pPr>
      <w:spacing w:after="0"/>
    </w:pPr>
    <w:rPr>
      <w:sz w:val="14"/>
      <w:szCs w:val="20"/>
    </w:rPr>
  </w:style>
  <w:style w:type="character" w:customStyle="1" w:styleId="FootnoteTextChar">
    <w:name w:val="Footnote Text Char"/>
    <w:basedOn w:val="DefaultParagraphFont"/>
    <w:link w:val="FootnoteText"/>
    <w:uiPriority w:val="99"/>
    <w:rsid w:val="0039257A"/>
    <w:rPr>
      <w:color w:val="333333" w:themeColor="text1"/>
      <w:spacing w:val="-2"/>
      <w:sz w:val="14"/>
      <w:szCs w:val="20"/>
    </w:rPr>
  </w:style>
  <w:style w:type="character" w:styleId="FootnoteReference">
    <w:name w:val="footnote reference"/>
    <w:basedOn w:val="DefaultParagraphFont"/>
    <w:uiPriority w:val="99"/>
    <w:qFormat/>
    <w:rsid w:val="00E17EE7"/>
    <w:rPr>
      <w:vertAlign w:val="superscript"/>
    </w:rPr>
  </w:style>
  <w:style w:type="paragraph" w:customStyle="1" w:styleId="QuoteEvenPage">
    <w:name w:val="Quote Even Page"/>
    <w:basedOn w:val="Normal"/>
    <w:qFormat/>
    <w:rsid w:val="00EA6CD0"/>
    <w:pPr>
      <w:framePr w:w="1134" w:wrap="notBeside" w:vAnchor="text" w:hAnchor="page" w:x="9640" w:y="1"/>
    </w:pPr>
    <w:rPr>
      <w:iCs/>
      <w:color w:val="0085CF" w:themeColor="accent1"/>
      <w:sz w:val="14"/>
    </w:rPr>
  </w:style>
  <w:style w:type="paragraph" w:customStyle="1" w:styleId="QuoteOddPage">
    <w:name w:val="Quote Odd Page"/>
    <w:basedOn w:val="Normal"/>
    <w:qFormat/>
    <w:rsid w:val="00EA6CD0"/>
    <w:pPr>
      <w:framePr w:w="1134" w:wrap="notBeside" w:vAnchor="text" w:hAnchor="page" w:x="1135" w:y="1"/>
    </w:pPr>
    <w:rPr>
      <w:iCs/>
      <w:color w:val="0085CF" w:themeColor="accent1"/>
      <w:sz w:val="14"/>
    </w:rPr>
  </w:style>
  <w:style w:type="table" w:customStyle="1" w:styleId="NATS01">
    <w:name w:val="NATS_01"/>
    <w:basedOn w:val="TableNormal"/>
    <w:uiPriority w:val="99"/>
    <w:rsid w:val="00D31CFA"/>
    <w:pPr>
      <w:spacing w:after="0"/>
    </w:pPr>
    <w:rPr>
      <w:sz w:val="16"/>
    </w:rPr>
    <w:tblPr>
      <w:tblBorders>
        <w:top w:val="single" w:sz="4" w:space="0" w:color="0085CF" w:themeColor="text2"/>
        <w:bottom w:val="single" w:sz="4" w:space="0" w:color="0085CF" w:themeColor="text2"/>
        <w:insideH w:val="single" w:sz="4" w:space="0" w:color="0085CF" w:themeColor="text2"/>
      </w:tblBorders>
      <w:tblCellMar>
        <w:top w:w="28" w:type="dxa"/>
        <w:left w:w="0" w:type="dxa"/>
        <w:bottom w:w="57" w:type="dxa"/>
        <w:right w:w="0" w:type="dxa"/>
      </w:tblCellMar>
    </w:tblPr>
    <w:tblStylePr w:type="firstRow">
      <w:rPr>
        <w:b/>
      </w:rPr>
      <w:tblPr/>
      <w:tcPr>
        <w:shd w:val="clear" w:color="auto" w:fill="D5EBF7" w:themeFill="accent2" w:themeFillTint="33"/>
      </w:tcPr>
    </w:tblStylePr>
    <w:tblStylePr w:type="lastRow">
      <w:rPr>
        <w:b/>
      </w:rPr>
    </w:tblStylePr>
  </w:style>
  <w:style w:type="paragraph" w:customStyle="1" w:styleId="Protectedmarking">
    <w:name w:val="Protected marking"/>
    <w:basedOn w:val="Normal"/>
    <w:qFormat/>
    <w:rsid w:val="00A55F47"/>
  </w:style>
  <w:style w:type="paragraph" w:styleId="TOC3">
    <w:name w:val="toc 3"/>
    <w:basedOn w:val="Normal"/>
    <w:next w:val="Normal"/>
    <w:autoRedefine/>
    <w:uiPriority w:val="39"/>
    <w:unhideWhenUsed/>
    <w:rsid w:val="002F3DD9"/>
    <w:pPr>
      <w:tabs>
        <w:tab w:val="left" w:pos="1441"/>
        <w:tab w:val="right" w:pos="9072"/>
      </w:tabs>
      <w:spacing w:after="100"/>
      <w:ind w:left="2268" w:hanging="907"/>
    </w:pPr>
    <w:rPr>
      <w:sz w:val="28"/>
    </w:rPr>
  </w:style>
  <w:style w:type="paragraph" w:customStyle="1" w:styleId="Photocaptions">
    <w:name w:val="Photo captions"/>
    <w:qFormat/>
    <w:rsid w:val="00690DCE"/>
    <w:pPr>
      <w:spacing w:after="360"/>
    </w:pPr>
    <w:rPr>
      <w:color w:val="46C3D7"/>
      <w:sz w:val="16"/>
      <w:szCs w:val="16"/>
    </w:rPr>
  </w:style>
  <w:style w:type="paragraph" w:styleId="TOC4">
    <w:name w:val="toc 4"/>
    <w:basedOn w:val="Normal"/>
    <w:next w:val="Normal"/>
    <w:autoRedefine/>
    <w:uiPriority w:val="39"/>
    <w:unhideWhenUsed/>
    <w:rsid w:val="003F741E"/>
    <w:pPr>
      <w:ind w:left="540"/>
    </w:pPr>
  </w:style>
  <w:style w:type="paragraph" w:styleId="TOC5">
    <w:name w:val="toc 5"/>
    <w:basedOn w:val="Normal"/>
    <w:next w:val="Normal"/>
    <w:autoRedefine/>
    <w:uiPriority w:val="39"/>
    <w:unhideWhenUsed/>
    <w:rsid w:val="003F741E"/>
    <w:pPr>
      <w:ind w:left="720"/>
    </w:pPr>
  </w:style>
  <w:style w:type="paragraph" w:styleId="TOC6">
    <w:name w:val="toc 6"/>
    <w:basedOn w:val="Normal"/>
    <w:next w:val="Normal"/>
    <w:autoRedefine/>
    <w:uiPriority w:val="39"/>
    <w:unhideWhenUsed/>
    <w:rsid w:val="003F741E"/>
    <w:pPr>
      <w:ind w:left="900"/>
    </w:pPr>
  </w:style>
  <w:style w:type="paragraph" w:styleId="TOC7">
    <w:name w:val="toc 7"/>
    <w:basedOn w:val="Normal"/>
    <w:next w:val="Normal"/>
    <w:autoRedefine/>
    <w:uiPriority w:val="39"/>
    <w:unhideWhenUsed/>
    <w:rsid w:val="003F741E"/>
    <w:pPr>
      <w:ind w:left="1080"/>
    </w:pPr>
  </w:style>
  <w:style w:type="paragraph" w:styleId="TOC8">
    <w:name w:val="toc 8"/>
    <w:basedOn w:val="Normal"/>
    <w:next w:val="Normal"/>
    <w:autoRedefine/>
    <w:uiPriority w:val="39"/>
    <w:unhideWhenUsed/>
    <w:rsid w:val="003F741E"/>
    <w:pPr>
      <w:ind w:left="1260"/>
    </w:pPr>
  </w:style>
  <w:style w:type="paragraph" w:styleId="TOC9">
    <w:name w:val="toc 9"/>
    <w:basedOn w:val="Normal"/>
    <w:next w:val="Normal"/>
    <w:autoRedefine/>
    <w:uiPriority w:val="39"/>
    <w:unhideWhenUsed/>
    <w:rsid w:val="003F741E"/>
    <w:pPr>
      <w:ind w:left="1440"/>
    </w:pPr>
  </w:style>
  <w:style w:type="paragraph" w:customStyle="1" w:styleId="Heading1Numbered">
    <w:name w:val="Heading 1 (Numbered)"/>
    <w:basedOn w:val="Heading1"/>
    <w:next w:val="Normal"/>
    <w:qFormat/>
    <w:rsid w:val="00485BB5"/>
    <w:pPr>
      <w:framePr w:wrap="around"/>
      <w:numPr>
        <w:numId w:val="45"/>
      </w:numPr>
    </w:pPr>
  </w:style>
  <w:style w:type="paragraph" w:customStyle="1" w:styleId="Heading2Numbered">
    <w:name w:val="Heading 2 (Numbered)"/>
    <w:basedOn w:val="Heading2"/>
    <w:next w:val="Normal"/>
    <w:qFormat/>
    <w:rsid w:val="00485BB5"/>
    <w:pPr>
      <w:numPr>
        <w:ilvl w:val="1"/>
        <w:numId w:val="45"/>
      </w:numPr>
    </w:pPr>
  </w:style>
  <w:style w:type="paragraph" w:customStyle="1" w:styleId="Heading3Numbered">
    <w:name w:val="Heading 3 (Numbered)"/>
    <w:basedOn w:val="Heading3"/>
    <w:next w:val="Normal"/>
    <w:qFormat/>
    <w:rsid w:val="00801B07"/>
    <w:pPr>
      <w:numPr>
        <w:ilvl w:val="2"/>
        <w:numId w:val="45"/>
      </w:numPr>
    </w:pPr>
  </w:style>
  <w:style w:type="paragraph" w:customStyle="1" w:styleId="Heading4Numbered">
    <w:name w:val="Heading 4 (Numbered)"/>
    <w:basedOn w:val="Heading4"/>
    <w:next w:val="Normal"/>
    <w:qFormat/>
    <w:rsid w:val="00801B07"/>
    <w:pPr>
      <w:numPr>
        <w:ilvl w:val="3"/>
        <w:numId w:val="45"/>
      </w:numPr>
    </w:pPr>
  </w:style>
  <w:style w:type="paragraph" w:customStyle="1" w:styleId="Heading5Numbered">
    <w:name w:val="Heading 5 (Numbered)"/>
    <w:basedOn w:val="Heading5"/>
    <w:next w:val="Normal"/>
    <w:qFormat/>
    <w:rsid w:val="00801B07"/>
    <w:pPr>
      <w:numPr>
        <w:ilvl w:val="4"/>
        <w:numId w:val="45"/>
      </w:numPr>
    </w:pPr>
  </w:style>
  <w:style w:type="numbering" w:customStyle="1" w:styleId="NATSHeadingList">
    <w:name w:val="NATS Heading List"/>
    <w:uiPriority w:val="99"/>
    <w:rsid w:val="00812B30"/>
    <w:pPr>
      <w:numPr>
        <w:numId w:val="45"/>
      </w:numPr>
    </w:pPr>
  </w:style>
  <w:style w:type="paragraph" w:styleId="Caption">
    <w:name w:val="caption"/>
    <w:basedOn w:val="Normal"/>
    <w:next w:val="Normal"/>
    <w:uiPriority w:val="35"/>
    <w:unhideWhenUsed/>
    <w:qFormat/>
    <w:rsid w:val="00C90C84"/>
    <w:pPr>
      <w:spacing w:after="200"/>
    </w:pPr>
    <w:rPr>
      <w:b/>
      <w:bCs/>
      <w:color w:val="0085CF" w:themeColor="accen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98F99C5D304AA7B7DC10A3709CD0DE"/>
        <w:category>
          <w:name w:val="General"/>
          <w:gallery w:val="placeholder"/>
        </w:category>
        <w:types>
          <w:type w:val="bbPlcHdr"/>
        </w:types>
        <w:behaviors>
          <w:behavior w:val="content"/>
        </w:behaviors>
        <w:guid w:val="{50F5FFA8-1245-4859-AFA9-3AB66DC392F2}"/>
      </w:docPartPr>
      <w:docPartBody>
        <w:p w:rsidR="00880A10" w:rsidRDefault="00880A10">
          <w:pPr>
            <w:pStyle w:val="0098F99C5D304AA7B7DC10A3709CD0DE"/>
          </w:pPr>
          <w:r w:rsidRPr="004D663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A10"/>
    <w:rsid w:val="00880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98F99C5D304AA7B7DC10A3709CD0DE">
    <w:name w:val="0098F99C5D304AA7B7DC10A3709CD0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98F99C5D304AA7B7DC10A3709CD0DE">
    <w:name w:val="0098F99C5D304AA7B7DC10A3709CD0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ATS_BLUE">
      <a:dk1>
        <a:srgbClr val="333333"/>
      </a:dk1>
      <a:lt1>
        <a:sysClr val="window" lastClr="FFFFFF"/>
      </a:lt1>
      <a:dk2>
        <a:srgbClr val="0085CF"/>
      </a:dk2>
      <a:lt2>
        <a:srgbClr val="E6E6E6"/>
      </a:lt2>
      <a:accent1>
        <a:srgbClr val="0085CF"/>
      </a:accent1>
      <a:accent2>
        <a:srgbClr val="339DD9"/>
      </a:accent2>
      <a:accent3>
        <a:srgbClr val="66B6E2"/>
      </a:accent3>
      <a:accent4>
        <a:srgbClr val="99CEEC"/>
      </a:accent4>
      <a:accent5>
        <a:srgbClr val="666666"/>
      </a:accent5>
      <a:accent6>
        <a:srgbClr val="E6E6E6"/>
      </a:accent6>
      <a:hlink>
        <a:srgbClr val="000000"/>
      </a:hlink>
      <a:folHlink>
        <a:srgbClr val="000000"/>
      </a:folHlink>
    </a:clrScheme>
    <a:fontScheme name="Office 2">
      <a:majorFont>
        <a:latin typeface="Roboto"/>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Roboto"/>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NATSOwner xmlns="c461cddb-fd5b-4187-8db6-162fdb3d9acb">
      <UserInfo>
        <DisplayName>DRIVER, Dominique L</DisplayName>
        <AccountId>26</AccountId>
        <AccountType/>
      </UserInfo>
    </NATSOwner>
    <ProtectiveMarking xmlns="87a76c1e-7ea3-4117-9280-3e492ebb7ba5">No Marking Required</ProtectiveMarking>
    <_dlc_DocId xmlns="87a76c1e-7ea3-4117-9280-3e492ebb7ba5">COM01-85-246</_dlc_DocId>
    <_dlc_DocIdUrl xmlns="c9b95855-8e0c-4bf0-bd74-4eb4ec0ba957">
      <Url>http://teamhub.nats.co.uk/functions/COM/ALL/_layouts/DocIdRedir.aspx?ID=COM01-85-246</Url>
      <Description>COM01-85-246</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ATS-Document" ma:contentTypeID="0x010100EA2063E8704C434082E7DCCA54F9F02F006298290545402944B49F20E55DF96FBD" ma:contentTypeVersion="6" ma:contentTypeDescription="Create a new NATS Document" ma:contentTypeScope="" ma:versionID="4ffc7cca026d0d94db643009d85e3c4c">
  <xsd:schema xmlns:xsd="http://www.w3.org/2001/XMLSchema" xmlns:xs="http://www.w3.org/2001/XMLSchema" xmlns:p="http://schemas.microsoft.com/office/2006/metadata/properties" xmlns:ns2="87a76c1e-7ea3-4117-9280-3e492ebb7ba5" xmlns:ns3="c461cddb-fd5b-4187-8db6-162fdb3d9acb" xmlns:ns4="c9b95855-8e0c-4bf0-bd74-4eb4ec0ba957" xmlns:ns5="http://schemas.microsoft.com/sharepoint/v4" targetNamespace="http://schemas.microsoft.com/office/2006/metadata/properties" ma:root="true" ma:fieldsID="ecac99e50577c9eec75b6134eacb921e" ns2:_="" ns3:_="" ns4:_="" ns5:_="">
    <xsd:import namespace="87a76c1e-7ea3-4117-9280-3e492ebb7ba5"/>
    <xsd:import namespace="c461cddb-fd5b-4187-8db6-162fdb3d9acb"/>
    <xsd:import namespace="c9b95855-8e0c-4bf0-bd74-4eb4ec0ba957"/>
    <xsd:import namespace="http://schemas.microsoft.com/sharepoint/v4"/>
    <xsd:element name="properties">
      <xsd:complexType>
        <xsd:sequence>
          <xsd:element name="documentManagement">
            <xsd:complexType>
              <xsd:all>
                <xsd:element ref="ns2:ProtectiveMarking"/>
                <xsd:element ref="ns3:NATSOwner"/>
                <xsd:element ref="ns2:_dlc_DocId" minOccurs="0"/>
                <xsd:element ref="ns4:_dlc_DocIdUrl" minOccurs="0"/>
                <xsd:element ref="ns2: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76c1e-7ea3-4117-9280-3e492ebb7ba5" elementFormDefault="qualified">
    <xsd:import namespace="http://schemas.microsoft.com/office/2006/documentManagement/types"/>
    <xsd:import namespace="http://schemas.microsoft.com/office/infopath/2007/PartnerControls"/>
    <xsd:element name="ProtectiveMarking" ma:index="8" ma:displayName="Protective Marking" ma:default="NATS PRIVATE" ma:format="Dropdown" ma:internalName="ProtectiveMarking">
      <xsd:simpleType>
        <xsd:restriction base="dms:Choice">
          <xsd:enumeration value="No Marking Required"/>
          <xsd:enumeration value="NATS PRIVATE"/>
          <xsd:enumeration value="NATS PROTECTED"/>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61cddb-fd5b-4187-8db6-162fdb3d9acb" elementFormDefault="qualified">
    <xsd:import namespace="http://schemas.microsoft.com/office/2006/documentManagement/types"/>
    <xsd:import namespace="http://schemas.microsoft.com/office/infopath/2007/PartnerControls"/>
    <xsd:element name="NATSOwner" ma:index="9" ma:displayName="NATS Owner" ma:list="UserInfo" ma:SharePointGroup="0" ma:internalName="NATS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b95855-8e0c-4bf0-bd74-4eb4ec0ba957" elementFormDefault="qualified">
    <xsd:import namespace="http://schemas.microsoft.com/office/2006/documentManagement/types"/>
    <xsd:import namespace="http://schemas.microsoft.com/office/infopath/2007/PartnerControls"/>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69F73-7D45-44B7-BA28-055AC56F0D27}">
  <ds:schemaRefs>
    <ds:schemaRef ds:uri="http://schemas.microsoft.com/sharepoint/events"/>
  </ds:schemaRefs>
</ds:datastoreItem>
</file>

<file path=customXml/itemProps2.xml><?xml version="1.0" encoding="utf-8"?>
<ds:datastoreItem xmlns:ds="http://schemas.openxmlformats.org/officeDocument/2006/customXml" ds:itemID="{52AA3B68-63BD-49AC-9196-35F243CA4FB6}">
  <ds:schemaRefs>
    <ds:schemaRef ds:uri="http://purl.org/dc/terms/"/>
    <ds:schemaRef ds:uri="http://purl.org/dc/dcmitype/"/>
    <ds:schemaRef ds:uri="http://schemas.microsoft.com/office/2006/metadata/properties"/>
    <ds:schemaRef ds:uri="http://schemas.microsoft.com/office/infopath/2007/PartnerControls"/>
    <ds:schemaRef ds:uri="http://purl.org/dc/elements/1.1/"/>
    <ds:schemaRef ds:uri="87a76c1e-7ea3-4117-9280-3e492ebb7ba5"/>
    <ds:schemaRef ds:uri="http://schemas.microsoft.com/office/2006/documentManagement/types"/>
    <ds:schemaRef ds:uri="c461cddb-fd5b-4187-8db6-162fdb3d9acb"/>
    <ds:schemaRef ds:uri="http://schemas.openxmlformats.org/package/2006/metadata/core-properties"/>
    <ds:schemaRef ds:uri="http://schemas.microsoft.com/sharepoint/v4"/>
    <ds:schemaRef ds:uri="c9b95855-8e0c-4bf0-bd74-4eb4ec0ba957"/>
    <ds:schemaRef ds:uri="http://www.w3.org/XML/1998/namespace"/>
  </ds:schemaRefs>
</ds:datastoreItem>
</file>

<file path=customXml/itemProps3.xml><?xml version="1.0" encoding="utf-8"?>
<ds:datastoreItem xmlns:ds="http://schemas.openxmlformats.org/officeDocument/2006/customXml" ds:itemID="{EAE31558-1E29-4BE2-A298-7CB1B8D7AB79}">
  <ds:schemaRefs>
    <ds:schemaRef ds:uri="http://schemas.microsoft.com/sharepoint/v3/contenttype/forms"/>
  </ds:schemaRefs>
</ds:datastoreItem>
</file>

<file path=customXml/itemProps4.xml><?xml version="1.0" encoding="utf-8"?>
<ds:datastoreItem xmlns:ds="http://schemas.openxmlformats.org/officeDocument/2006/customXml" ds:itemID="{17B32E99-8FDD-4DFE-B6BF-470F753B9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76c1e-7ea3-4117-9280-3e492ebb7ba5"/>
    <ds:schemaRef ds:uri="c461cddb-fd5b-4187-8db6-162fdb3d9acb"/>
    <ds:schemaRef ds:uri="c9b95855-8e0c-4bf0-bd74-4eb4ec0ba95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368974-1F18-4652-8BC0-6DB09191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A31F5B74</Template>
  <TotalTime>5</TotalTime>
  <Pages>16</Pages>
  <Words>2965</Words>
  <Characters>16905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Swanwick Airspace Improvement Proramme: Consultation Document</vt:lpstr>
    </vt:vector>
  </TitlesOfParts>
  <Company>Typematic Limited</Company>
  <LinksUpToDate>false</LinksUpToDate>
  <CharactersWithSpaces>19831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Swanwick Airspace Improvement Proramme: Consultation Document</dc:title>
  <dc:subject>SAIP AD1 Part 3</dc:subject>
  <dc:creator>TAYLOR, Bradley R</dc:creator>
  <cp:lastModifiedBy>TAYLOR, Bradley R</cp:lastModifiedBy>
  <cp:revision>3</cp:revision>
  <cp:lastPrinted>2017-06-28T08:32:00Z</cp:lastPrinted>
  <dcterms:created xsi:type="dcterms:W3CDTF">2017-06-29T10:20:00Z</dcterms:created>
  <dcterms:modified xsi:type="dcterms:W3CDTF">2017-06-30T10:50:00Z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Approved by">
    <vt:lpwstr>Author Surname</vt:lpwstr>
  </property>
  <property fmtid="{D5CDD505-2E9C-101B-9397-08002B2CF9AE}" pid="4" name="ContentTypeId">
    <vt:lpwstr>0x010100EA2063E8704C434082E7DCCA54F9F02F006298290545402944B49F20E55DF96FBD</vt:lpwstr>
  </property>
  <property fmtid="{D5CDD505-2E9C-101B-9397-08002B2CF9AE}" pid="5" name="OrganisationalValue">
    <vt:lpwstr>1;#Corporate Communications|476507f0-4acd-43c8-b958-4fad74f9c6f7</vt:lpwstr>
  </property>
  <property fmtid="{D5CDD505-2E9C-101B-9397-08002B2CF9AE}" pid="6" name="NATS_x0020_Subject">
    <vt:lpwstr>6;#Corporate Communications|dabf572b-42d6-4e32-b271-c6b1a5e52784</vt:lpwstr>
  </property>
  <property fmtid="{D5CDD505-2E9C-101B-9397-08002B2CF9AE}" pid="7" name="NATS Subject">
    <vt:lpwstr>6;#Corporate Communications|dabf572b-42d6-4e32-b271-c6b1a5e52784</vt:lpwstr>
  </property>
  <property fmtid="{D5CDD505-2E9C-101B-9397-08002B2CF9AE}" pid="8" name="_dlc_DocIdItemGuid">
    <vt:lpwstr>fea752e8-8224-412a-99dc-91ae8f17af18</vt:lpwstr>
  </property>
  <property fmtid="{D5CDD505-2E9C-101B-9397-08002B2CF9AE}" pid="9" name="Order">
    <vt:r8>52000</vt:r8>
  </property>
</Properties>
</file>